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3EF21" w14:textId="65516816" w:rsidR="008C615A" w:rsidRPr="001854F8" w:rsidRDefault="008A4B16" w:rsidP="004F785E">
      <w:pPr>
        <w:rPr>
          <w:rFonts w:ascii="Arial" w:hAnsi="Arial" w:cs="Arial"/>
        </w:rPr>
      </w:pPr>
      <w:r>
        <w:rPr>
          <w:rFonts w:ascii="Arial" w:hAnsi="Arial" w:cs="Arial"/>
          <w:noProof/>
        </w:rPr>
        <w:drawing>
          <wp:anchor distT="0" distB="0" distL="114300" distR="114300" simplePos="0" relativeHeight="251659270" behindDoc="1" locked="0" layoutInCell="1" allowOverlap="1" wp14:anchorId="7F12F060" wp14:editId="7CC48027">
            <wp:simplePos x="0" y="0"/>
            <wp:positionH relativeFrom="page">
              <wp:align>right</wp:align>
            </wp:positionH>
            <wp:positionV relativeFrom="margin">
              <wp:posOffset>-1294130</wp:posOffset>
            </wp:positionV>
            <wp:extent cx="7620000" cy="10778490"/>
            <wp:effectExtent l="0" t="0" r="0" b="3810"/>
            <wp:wrapSquare wrapText="bothSides"/>
            <wp:docPr id="1277462609" name="Picture 2" descr="A bee flying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2609" name="Picture 2" descr="A bee flying on a flower&#10;&#10;AI-generated content may be incorrect."/>
                    <pic:cNvPicPr/>
                  </pic:nvPicPr>
                  <pic:blipFill>
                    <a:blip r:embed="rId11"/>
                    <a:stretch>
                      <a:fillRect/>
                    </a:stretch>
                  </pic:blipFill>
                  <pic:spPr>
                    <a:xfrm>
                      <a:off x="0" y="0"/>
                      <a:ext cx="7620000" cy="10778490"/>
                    </a:xfrm>
                    <a:prstGeom prst="rect">
                      <a:avLst/>
                    </a:prstGeom>
                  </pic:spPr>
                </pic:pic>
              </a:graphicData>
            </a:graphic>
            <wp14:sizeRelH relativeFrom="page">
              <wp14:pctWidth>0</wp14:pctWidth>
            </wp14:sizeRelH>
            <wp14:sizeRelV relativeFrom="page">
              <wp14:pctHeight>0</wp14:pctHeight>
            </wp14:sizeRelV>
          </wp:anchor>
        </w:drawing>
      </w:r>
    </w:p>
    <w:p w14:paraId="7384DE1D" w14:textId="5A894EE3" w:rsidR="002370C5" w:rsidRPr="008A4B16" w:rsidRDefault="00EC5FE8" w:rsidP="008A4B16">
      <w:pPr>
        <w:rPr>
          <w:rFonts w:ascii="Arial" w:hAnsi="Arial" w:cs="Arial"/>
        </w:rPr>
      </w:pPr>
      <w:r w:rsidRPr="001854F8">
        <w:rPr>
          <w:rFonts w:ascii="Arial" w:hAnsi="Arial" w:cs="Arial"/>
          <w:noProof/>
        </w:rPr>
        <w:lastRenderedPageBreak/>
        <mc:AlternateContent>
          <mc:Choice Requires="wps">
            <w:drawing>
              <wp:anchor distT="0" distB="0" distL="114300" distR="114300" simplePos="0" relativeHeight="251658240" behindDoc="0" locked="0" layoutInCell="1" allowOverlap="1" wp14:anchorId="40BEAF62" wp14:editId="0527F16C">
                <wp:simplePos x="0" y="0"/>
                <wp:positionH relativeFrom="column">
                  <wp:posOffset>-681355</wp:posOffset>
                </wp:positionH>
                <wp:positionV relativeFrom="paragraph">
                  <wp:posOffset>173355</wp:posOffset>
                </wp:positionV>
                <wp:extent cx="7115175" cy="10337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33780"/>
                        </a:xfrm>
                        <a:prstGeom prst="rect">
                          <a:avLst/>
                        </a:prstGeom>
                        <a:noFill/>
                        <a:ln w="9525">
                          <a:noFill/>
                          <a:miter lim="800000"/>
                          <a:headEnd/>
                          <a:tailEnd/>
                        </a:ln>
                      </wps:spPr>
                      <wps:txbx>
                        <w:txbxContent>
                          <w:p w14:paraId="5A4365C1" w14:textId="3FBC0B5D" w:rsidR="00922A64" w:rsidRPr="008A4B16" w:rsidRDefault="00922A64" w:rsidP="00EC5FE8">
                            <w:pPr>
                              <w:spacing w:line="240" w:lineRule="auto"/>
                              <w:rPr>
                                <w:rFonts w:ascii="Arial" w:hAnsi="Arial" w:cs="Arial"/>
                                <w:b/>
                                <w:bCs/>
                                <w:color w:val="193E75"/>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EAF62" id="_x0000_t202" coordsize="21600,21600" o:spt="202" path="m,l,21600r21600,l21600,xe">
                <v:stroke joinstyle="miter"/>
                <v:path gradientshapeok="t" o:connecttype="rect"/>
              </v:shapetype>
              <v:shape id="Text Box 2" o:spid="_x0000_s1026" type="#_x0000_t202" style="position:absolute;margin-left:-53.65pt;margin-top:13.65pt;width:560.25pt;height:81.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" filled="f" stroked="f">
                <v:textbox style="mso-fit-shape-to-text:t">
                  <w:txbxContent>
                    <w:p w14:paraId="5A4365C1" w14:textId="3FBC0B5D" w:rsidR="00922A64" w:rsidRPr="008A4B16" w:rsidRDefault="00922A64" w:rsidP="00EC5FE8">
                      <w:pPr>
                        <w:spacing w:line="240" w:lineRule="auto"/>
                        <w:rPr>
                          <w:rFonts w:ascii="Arial" w:hAnsi="Arial" w:cs="Arial"/>
                          <w:b/>
                          <w:bCs/>
                          <w:color w:val="193E75"/>
                          <w:sz w:val="36"/>
                          <w:szCs w:val="36"/>
                        </w:rPr>
                      </w:pPr>
                    </w:p>
                  </w:txbxContent>
                </v:textbox>
              </v:shape>
            </w:pict>
          </mc:Fallback>
        </mc:AlternateContent>
      </w:r>
      <w:r w:rsidR="002370C5" w:rsidRPr="002370C5">
        <w:rPr>
          <w:lang w:val="en-GB"/>
        </w:rPr>
        <w:t>UNDP and the Global Biodiversity Finance Initiative (BIOFIN) Team would like to thank our partners—The European Union, the Governments of Germany, Switzerland, Norway, Flanders, and Sweden—for their support in making this publication possible.</w:t>
      </w:r>
    </w:p>
    <w:p w14:paraId="345F940D" w14:textId="47A1098F" w:rsidR="002370C5" w:rsidRPr="002370C5" w:rsidRDefault="002370C5" w:rsidP="00446EAC">
      <w:pPr>
        <w:pStyle w:val="BodyText"/>
        <w:rPr>
          <w:lang w:val="en-GB"/>
        </w:rPr>
      </w:pPr>
      <w:r w:rsidRPr="002370C5">
        <w:rPr>
          <w:lang w:val="en-GB"/>
        </w:rPr>
        <w:t xml:space="preserve">The authors of </w:t>
      </w:r>
      <w:r w:rsidR="00446EAC" w:rsidRPr="00446EAC">
        <w:rPr>
          <w:i/>
          <w:iCs/>
          <w:lang w:val="en-GB"/>
        </w:rPr>
        <w:t xml:space="preserve">Effectiveness of Fees for Permits and Licenses under NEMBA: </w:t>
      </w:r>
      <w:r w:rsidR="0091410D">
        <w:rPr>
          <w:i/>
          <w:iCs/>
          <w:lang w:val="en-GB"/>
        </w:rPr>
        <w:t>Summary Findings and Policy Brief</w:t>
      </w:r>
      <w:r w:rsidR="0091410D">
        <w:rPr>
          <w:lang w:val="en-GB"/>
        </w:rPr>
        <w:t xml:space="preserve"> </w:t>
      </w:r>
      <w:r w:rsidRPr="002370C5">
        <w:rPr>
          <w:lang w:val="en-GB"/>
        </w:rPr>
        <w:t>were</w:t>
      </w:r>
      <w:r w:rsidR="00F42BF6">
        <w:rPr>
          <w:lang w:val="en-GB"/>
        </w:rPr>
        <w:t xml:space="preserve"> Dr Hugo van Zyl and James Kinghorn</w:t>
      </w:r>
      <w:r w:rsidR="004745F0">
        <w:rPr>
          <w:lang w:val="en-GB"/>
        </w:rPr>
        <w:t xml:space="preserve"> of Indep</w:t>
      </w:r>
      <w:r w:rsidR="002D2EBF">
        <w:rPr>
          <w:lang w:val="en-GB"/>
        </w:rPr>
        <w:t>endent Economic Researchers</w:t>
      </w:r>
      <w:r w:rsidRPr="002370C5">
        <w:rPr>
          <w:lang w:val="en-GB"/>
        </w:rPr>
        <w:t xml:space="preserve">. </w:t>
      </w:r>
    </w:p>
    <w:p w14:paraId="47FA0E35" w14:textId="3FDCC2C9" w:rsidR="002370C5" w:rsidRPr="002370C5" w:rsidRDefault="00CA399D" w:rsidP="002370C5">
      <w:pPr>
        <w:pStyle w:val="BodyText"/>
        <w:pBdr>
          <w:bottom w:val="single" w:sz="4" w:space="1" w:color="auto"/>
        </w:pBdr>
        <w:rPr>
          <w:sz w:val="2"/>
          <w:szCs w:val="2"/>
          <w:lang w:val="en-GB"/>
        </w:rPr>
      </w:pPr>
      <w:r w:rsidRPr="00CA399D">
        <w:rPr>
          <w:rFonts w:ascii="Helvetica" w:hAnsi="Helvetica" w:cs="ArialMT"/>
          <w:lang w:val="en-GB"/>
        </w:rPr>
        <w:t xml:space="preserve">A special thanks to Nokutula Mhene, Janice Golding and Yolanda Makhura of UNDP South Africa; Nkhumeleni Mbedzi, Flora </w:t>
      </w:r>
      <w:proofErr w:type="spellStart"/>
      <w:r w:rsidRPr="00CA399D">
        <w:rPr>
          <w:rFonts w:ascii="Helvetica" w:hAnsi="Helvetica" w:cs="ArialMT"/>
          <w:lang w:val="en-GB"/>
        </w:rPr>
        <w:t>Mokgohloa</w:t>
      </w:r>
      <w:proofErr w:type="spellEnd"/>
      <w:r w:rsidRPr="00CA399D">
        <w:rPr>
          <w:rFonts w:ascii="Helvetica" w:hAnsi="Helvetica" w:cs="ArialMT"/>
          <w:lang w:val="en-GB"/>
        </w:rPr>
        <w:t xml:space="preserve">, Ephraim </w:t>
      </w:r>
      <w:proofErr w:type="spellStart"/>
      <w:r w:rsidRPr="00CA399D">
        <w:rPr>
          <w:rFonts w:ascii="Helvetica" w:hAnsi="Helvetica" w:cs="ArialMT"/>
          <w:lang w:val="en-GB"/>
        </w:rPr>
        <w:t>Makhubele</w:t>
      </w:r>
      <w:proofErr w:type="spellEnd"/>
      <w:r w:rsidRPr="00CA399D">
        <w:rPr>
          <w:rFonts w:ascii="Helvetica" w:hAnsi="Helvetica" w:cs="ArialMT"/>
          <w:lang w:val="en-GB"/>
        </w:rPr>
        <w:t xml:space="preserve">, </w:t>
      </w:r>
      <w:proofErr w:type="spellStart"/>
      <w:r w:rsidRPr="00CA399D">
        <w:rPr>
          <w:rFonts w:ascii="Helvetica" w:hAnsi="Helvetica" w:cs="ArialMT"/>
          <w:lang w:val="en-GB"/>
        </w:rPr>
        <w:t>Malepo</w:t>
      </w:r>
      <w:proofErr w:type="spellEnd"/>
      <w:r w:rsidRPr="00CA399D">
        <w:rPr>
          <w:rFonts w:ascii="Helvetica" w:hAnsi="Helvetica" w:cs="ArialMT"/>
          <w:lang w:val="en-GB"/>
        </w:rPr>
        <w:t xml:space="preserve"> </w:t>
      </w:r>
      <w:proofErr w:type="spellStart"/>
      <w:r w:rsidRPr="00CA399D">
        <w:rPr>
          <w:rFonts w:ascii="Helvetica" w:hAnsi="Helvetica" w:cs="ArialMT"/>
          <w:lang w:val="en-GB"/>
        </w:rPr>
        <w:t>Phoshoko</w:t>
      </w:r>
      <w:proofErr w:type="spellEnd"/>
      <w:r w:rsidRPr="00CA399D">
        <w:rPr>
          <w:rFonts w:ascii="Helvetica" w:hAnsi="Helvetica" w:cs="ArialMT"/>
          <w:lang w:val="en-GB"/>
        </w:rPr>
        <w:t xml:space="preserve">, </w:t>
      </w:r>
      <w:proofErr w:type="spellStart"/>
      <w:r w:rsidRPr="00CA399D">
        <w:rPr>
          <w:rFonts w:ascii="Helvetica" w:hAnsi="Helvetica" w:cs="ArialMT"/>
          <w:lang w:val="en-GB"/>
        </w:rPr>
        <w:t>Ntwanano</w:t>
      </w:r>
      <w:proofErr w:type="spellEnd"/>
      <w:r w:rsidRPr="00CA399D">
        <w:rPr>
          <w:rFonts w:ascii="Helvetica" w:hAnsi="Helvetica" w:cs="ArialMT"/>
          <w:lang w:val="en-GB"/>
        </w:rPr>
        <w:t xml:space="preserve"> </w:t>
      </w:r>
      <w:proofErr w:type="spellStart"/>
      <w:r w:rsidRPr="00CA399D">
        <w:rPr>
          <w:rFonts w:ascii="Helvetica" w:hAnsi="Helvetica" w:cs="ArialMT"/>
          <w:lang w:val="en-GB"/>
        </w:rPr>
        <w:t>Masingi</w:t>
      </w:r>
      <w:proofErr w:type="spellEnd"/>
      <w:r w:rsidRPr="00CA399D">
        <w:rPr>
          <w:rFonts w:ascii="Helvetica" w:hAnsi="Helvetica" w:cs="ArialMT"/>
          <w:lang w:val="en-GB"/>
        </w:rPr>
        <w:t xml:space="preserve">, Mpho </w:t>
      </w:r>
      <w:proofErr w:type="spellStart"/>
      <w:r w:rsidRPr="00CA399D">
        <w:rPr>
          <w:rFonts w:ascii="Helvetica" w:hAnsi="Helvetica" w:cs="ArialMT"/>
          <w:lang w:val="en-GB"/>
        </w:rPr>
        <w:t>Tjiane</w:t>
      </w:r>
      <w:proofErr w:type="spellEnd"/>
      <w:r w:rsidRPr="00CA399D">
        <w:rPr>
          <w:rFonts w:ascii="Helvetica" w:hAnsi="Helvetica" w:cs="ArialMT"/>
          <w:lang w:val="en-GB"/>
        </w:rPr>
        <w:t xml:space="preserve">,  </w:t>
      </w:r>
      <w:proofErr w:type="spellStart"/>
      <w:r w:rsidRPr="00CA399D">
        <w:rPr>
          <w:rFonts w:ascii="Helvetica" w:hAnsi="Helvetica" w:cs="ArialMT"/>
          <w:lang w:val="en-GB"/>
        </w:rPr>
        <w:t>Matshidiso</w:t>
      </w:r>
      <w:proofErr w:type="spellEnd"/>
      <w:r w:rsidRPr="00CA399D">
        <w:rPr>
          <w:rFonts w:ascii="Helvetica" w:hAnsi="Helvetica" w:cs="ArialMT"/>
          <w:lang w:val="en-GB"/>
        </w:rPr>
        <w:t xml:space="preserve"> </w:t>
      </w:r>
      <w:proofErr w:type="spellStart"/>
      <w:r w:rsidRPr="00CA399D">
        <w:rPr>
          <w:rFonts w:ascii="Helvetica" w:hAnsi="Helvetica" w:cs="ArialMT"/>
          <w:lang w:val="en-GB"/>
        </w:rPr>
        <w:t>Malatji</w:t>
      </w:r>
      <w:proofErr w:type="spellEnd"/>
      <w:r w:rsidRPr="00CA399D">
        <w:rPr>
          <w:rFonts w:ascii="Helvetica" w:hAnsi="Helvetica" w:cs="ArialMT"/>
          <w:lang w:val="en-GB"/>
        </w:rPr>
        <w:t xml:space="preserve">, </w:t>
      </w:r>
      <w:proofErr w:type="spellStart"/>
      <w:r w:rsidRPr="00CA399D">
        <w:rPr>
          <w:rFonts w:ascii="Helvetica" w:hAnsi="Helvetica" w:cs="ArialMT"/>
          <w:lang w:val="en-GB"/>
        </w:rPr>
        <w:t>Lactitia</w:t>
      </w:r>
      <w:proofErr w:type="spellEnd"/>
      <w:r w:rsidRPr="00CA399D">
        <w:rPr>
          <w:rFonts w:ascii="Helvetica" w:hAnsi="Helvetica" w:cs="ArialMT"/>
          <w:lang w:val="en-GB"/>
        </w:rPr>
        <w:t xml:space="preserve"> Tshitwamulomoni, Livhuwani Nnzeru, Khathutshelo Nelukalo, Ntambudzeni Nepfumembe of the National Department of Forestry, Fisheries and the Environment and representatives of the provincial issuing authorities including Deon Hignett and Danelle Kleinhans (Western Cape), Leon Lotter and Erasmus </w:t>
      </w:r>
      <w:proofErr w:type="spellStart"/>
      <w:r w:rsidRPr="00CA399D">
        <w:rPr>
          <w:rFonts w:ascii="Helvetica" w:hAnsi="Helvetica" w:cs="ArialMT"/>
          <w:lang w:val="en-GB"/>
        </w:rPr>
        <w:t>Kabinde</w:t>
      </w:r>
      <w:proofErr w:type="spellEnd"/>
      <w:r w:rsidRPr="00CA399D">
        <w:rPr>
          <w:rFonts w:ascii="Helvetica" w:hAnsi="Helvetica" w:cs="ArialMT"/>
          <w:lang w:val="en-GB"/>
        </w:rPr>
        <w:t xml:space="preserve"> (Gauteng), Dave Hayter and Nomasomi Tshingo (Free State), Noluthando Bam and Buntu Mzamo (Eastern Cape), David Paulse and Errol Swartbooi (Northern Cape), Dr Thokozani Mkhize, Pinky Sithole, Wayne Munger and Ntokozo Sibetha (KZN), Sam Makhubele and Anton van Wetten (Limpopo), Jonathan Denga and Khumoetsile Molatlhegi (North West), Dorothy Makaringe and April Lukhele (Mpumalanga).</w:t>
      </w:r>
    </w:p>
    <w:p w14:paraId="3925E382" w14:textId="4E508943" w:rsidR="002370C5" w:rsidRPr="002370C5" w:rsidRDefault="002370C5" w:rsidP="002370C5">
      <w:pPr>
        <w:pStyle w:val="BodyText"/>
        <w:rPr>
          <w:b/>
          <w:bCs/>
          <w:lang w:val="en-GB"/>
        </w:rPr>
      </w:pPr>
      <w:r w:rsidRPr="002370C5">
        <w:rPr>
          <w:b/>
          <w:bCs/>
          <w:lang w:val="en-GB"/>
        </w:rPr>
        <w:t>Photo credits:</w:t>
      </w:r>
    </w:p>
    <w:p w14:paraId="7D95C46B" w14:textId="0272D3E9" w:rsidR="002370C5" w:rsidRPr="000F69DF" w:rsidRDefault="002370C5" w:rsidP="002370C5">
      <w:pPr>
        <w:pStyle w:val="BodyText"/>
        <w:rPr>
          <w:lang w:val="en-GB"/>
        </w:rPr>
      </w:pPr>
      <w:r w:rsidRPr="002370C5">
        <w:rPr>
          <w:lang w:val="en-GB"/>
        </w:rPr>
        <w:t xml:space="preserve">Cover: </w:t>
      </w:r>
      <w:r w:rsidR="00E76F7C">
        <w:rPr>
          <w:lang w:val="en-GB"/>
        </w:rPr>
        <w:t>Dr Hugo van Zyl</w:t>
      </w:r>
      <w:r w:rsidRPr="000F69DF">
        <w:rPr>
          <w:lang w:val="en-GB"/>
        </w:rPr>
        <w:t>.</w:t>
      </w:r>
    </w:p>
    <w:p w14:paraId="6C4A9AAD" w14:textId="77777777" w:rsidR="00965ACE" w:rsidRPr="00965ACE" w:rsidRDefault="00965ACE" w:rsidP="00965ACE">
      <w:pPr>
        <w:pStyle w:val="BodyText"/>
        <w:pBdr>
          <w:bottom w:val="single" w:sz="4" w:space="1" w:color="auto"/>
        </w:pBdr>
        <w:rPr>
          <w:sz w:val="2"/>
          <w:szCs w:val="2"/>
          <w:lang w:val="en-GB"/>
        </w:rPr>
      </w:pPr>
    </w:p>
    <w:p w14:paraId="1B0E736A" w14:textId="77777777" w:rsidR="00965ACE" w:rsidRPr="00965ACE" w:rsidRDefault="002370C5" w:rsidP="002370C5">
      <w:pPr>
        <w:pStyle w:val="BodyText"/>
        <w:rPr>
          <w:b/>
          <w:bCs/>
          <w:lang w:val="en-GB"/>
        </w:rPr>
      </w:pPr>
      <w:r w:rsidRPr="00965ACE">
        <w:rPr>
          <w:b/>
          <w:bCs/>
          <w:lang w:val="en-GB"/>
        </w:rPr>
        <w:t>Suggested citation</w:t>
      </w:r>
    </w:p>
    <w:p w14:paraId="7F228B52" w14:textId="5657BF18" w:rsidR="002370C5" w:rsidRPr="002370C5" w:rsidRDefault="002370C5" w:rsidP="00E4276F">
      <w:pPr>
        <w:pStyle w:val="BodyText"/>
        <w:rPr>
          <w:lang w:val="en-GB"/>
        </w:rPr>
      </w:pPr>
      <w:r w:rsidRPr="002370C5">
        <w:rPr>
          <w:lang w:val="en-GB"/>
        </w:rPr>
        <w:t xml:space="preserve">UNDP </w:t>
      </w:r>
      <w:r w:rsidR="003C7856">
        <w:rPr>
          <w:lang w:val="en-GB"/>
        </w:rPr>
        <w:t>2022</w:t>
      </w:r>
      <w:r w:rsidRPr="002370C5">
        <w:rPr>
          <w:lang w:val="en-GB"/>
        </w:rPr>
        <w:t>.</w:t>
      </w:r>
      <w:r w:rsidR="003C7856">
        <w:rPr>
          <w:lang w:val="en-GB"/>
        </w:rPr>
        <w:t xml:space="preserve"> </w:t>
      </w:r>
      <w:r w:rsidR="003C7856" w:rsidRPr="003C7856">
        <w:rPr>
          <w:lang w:val="en-GB"/>
        </w:rPr>
        <w:t xml:space="preserve">Effectiveness of Fees for Permits and Licenses under NEMBA: </w:t>
      </w:r>
      <w:r w:rsidR="00A6726F">
        <w:rPr>
          <w:lang w:val="en-GB"/>
        </w:rPr>
        <w:t xml:space="preserve">Policy </w:t>
      </w:r>
      <w:r w:rsidR="00D5057A">
        <w:rPr>
          <w:lang w:val="en-GB"/>
        </w:rPr>
        <w:t>Brief</w:t>
      </w:r>
      <w:r w:rsidR="003C7856">
        <w:rPr>
          <w:lang w:val="en-GB"/>
        </w:rPr>
        <w:t xml:space="preserve">. </w:t>
      </w:r>
      <w:r w:rsidRPr="002370C5">
        <w:rPr>
          <w:lang w:val="en-GB"/>
        </w:rPr>
        <w:t xml:space="preserve">The Biodiversity Finance Initiative. United Nations Development Programme: New York. Available at www.biodiversityfinance.org </w:t>
      </w:r>
      <w:r w:rsidR="00965ACE" w:rsidRPr="00965ACE">
        <w:rPr>
          <w:lang w:val="en-GB"/>
        </w:rPr>
        <w:t>and www.undp.org</w:t>
      </w:r>
      <w:r w:rsidR="00965ACE">
        <w:rPr>
          <w:lang w:val="en-GB"/>
        </w:rPr>
        <w:t>.</w:t>
      </w:r>
    </w:p>
    <w:p w14:paraId="596CEE0C" w14:textId="6484B75E" w:rsidR="002370C5" w:rsidRDefault="002370C5" w:rsidP="002370C5">
      <w:pPr>
        <w:pStyle w:val="BodyText"/>
        <w:rPr>
          <w:lang w:val="en-GB"/>
        </w:rPr>
      </w:pPr>
      <w:r w:rsidRPr="002370C5">
        <w:rPr>
          <w:lang w:val="en-GB"/>
        </w:rPr>
        <w:t xml:space="preserve">The views expressed in this publication are those of the authors and do not necessarily represent those of the United Nations, including UNDP, or the UN Member States. </w:t>
      </w:r>
    </w:p>
    <w:p w14:paraId="527B8C8E" w14:textId="77777777" w:rsidR="002370C5" w:rsidRPr="002370C5" w:rsidRDefault="002370C5" w:rsidP="002370C5">
      <w:pPr>
        <w:pStyle w:val="BodyText"/>
        <w:pBdr>
          <w:bottom w:val="single" w:sz="4" w:space="1" w:color="auto"/>
        </w:pBdr>
        <w:rPr>
          <w:sz w:val="2"/>
          <w:szCs w:val="2"/>
          <w:lang w:val="en-GB"/>
        </w:rPr>
      </w:pPr>
    </w:p>
    <w:p w14:paraId="06EE540C" w14:textId="747E7658" w:rsidR="00965ACE" w:rsidRDefault="002370C5" w:rsidP="002370C5">
      <w:pPr>
        <w:pStyle w:val="BodyText"/>
        <w:rPr>
          <w:b/>
          <w:bCs/>
          <w:lang w:val="en-GB"/>
        </w:rPr>
      </w:pPr>
      <w:r w:rsidRPr="002370C5">
        <w:rPr>
          <w:b/>
          <w:bCs/>
          <w:lang w:val="en-GB"/>
        </w:rPr>
        <w:t>Copyright ©</w:t>
      </w:r>
      <w:r w:rsidR="00FF4D34">
        <w:rPr>
          <w:b/>
          <w:bCs/>
          <w:lang w:val="en-GB"/>
        </w:rPr>
        <w:t>2022</w:t>
      </w:r>
      <w:r w:rsidRPr="002370C5">
        <w:rPr>
          <w:b/>
          <w:bCs/>
          <w:lang w:val="en-GB"/>
        </w:rPr>
        <w:t xml:space="preserve">. All rights </w:t>
      </w:r>
      <w:r w:rsidRPr="000F69DF">
        <w:rPr>
          <w:b/>
          <w:bCs/>
          <w:lang w:val="en-GB"/>
        </w:rPr>
        <w:t>reserved</w:t>
      </w:r>
      <w:r w:rsidR="00965ACE" w:rsidRPr="000F69DF">
        <w:rPr>
          <w:b/>
          <w:bCs/>
          <w:lang w:val="en-GB"/>
        </w:rPr>
        <w:t xml:space="preserve"> OR</w:t>
      </w:r>
      <w:r w:rsidR="00965ACE" w:rsidRPr="00965ACE">
        <w:rPr>
          <w:b/>
          <w:bCs/>
          <w:lang w:val="en-GB"/>
        </w:rPr>
        <w:t xml:space="preserve"> Creative Commons license</w:t>
      </w:r>
      <w:r w:rsidR="00965ACE">
        <w:rPr>
          <w:b/>
          <w:bCs/>
          <w:lang w:val="en-GB"/>
        </w:rPr>
        <w:t>.</w:t>
      </w:r>
    </w:p>
    <w:p w14:paraId="1DA4CEAB" w14:textId="1292059F" w:rsidR="002370C5" w:rsidRDefault="002370C5" w:rsidP="006943C7">
      <w:pPr>
        <w:pStyle w:val="BodyText"/>
        <w:rPr>
          <w:lang w:val="en-GB"/>
        </w:rPr>
      </w:pPr>
      <w:r w:rsidRPr="002370C5">
        <w:rPr>
          <w:lang w:val="en-GB"/>
        </w:rPr>
        <w:t xml:space="preserve">Rights: Reproduction of this publication for educational or other non-commercial purposes is authorized without prior written permission from the copyright holder provided the source is fully acknowledged. Reproduction of this publication for resale or other commercial purposes is prohibited without prior written permission of the copyright holder. The designation of geographical entities in this book, and the presentation of the material, do not imply the expression of any opinion whatsoever on the part of UNDP concerning the legal status of any </w:t>
      </w:r>
      <w:r w:rsidRPr="002370C5">
        <w:rPr>
          <w:lang w:val="en-GB"/>
        </w:rPr>
        <w:lastRenderedPageBreak/>
        <w:t>country, territory, or area, or of its authorities, or concerning the delimitation of its frontiers or boundaries.</w:t>
      </w:r>
    </w:p>
    <w:p w14:paraId="1302A4B7" w14:textId="77777777" w:rsidR="002370C5" w:rsidRPr="002370C5" w:rsidRDefault="002370C5" w:rsidP="002370C5">
      <w:pPr>
        <w:pStyle w:val="BodyText"/>
        <w:pBdr>
          <w:bottom w:val="single" w:sz="4" w:space="1" w:color="auto"/>
        </w:pBdr>
        <w:rPr>
          <w:sz w:val="2"/>
          <w:szCs w:val="2"/>
          <w:lang w:val="en-GB"/>
        </w:rPr>
      </w:pPr>
    </w:p>
    <w:p w14:paraId="785FD144" w14:textId="77777777" w:rsidR="00615530" w:rsidRDefault="002370C5" w:rsidP="0036578B">
      <w:pPr>
        <w:pStyle w:val="BodyText"/>
        <w:spacing w:after="120"/>
        <w:rPr>
          <w:b/>
          <w:bCs/>
          <w:lang w:val="en-GB"/>
        </w:rPr>
      </w:pPr>
      <w:r w:rsidRPr="002370C5">
        <w:rPr>
          <w:b/>
          <w:bCs/>
          <w:lang w:val="en-GB"/>
        </w:rPr>
        <w:t xml:space="preserve">United Nations Development Programme </w:t>
      </w:r>
    </w:p>
    <w:p w14:paraId="5D5899A0" w14:textId="4707EE59" w:rsidR="00B63229" w:rsidRDefault="002370C5" w:rsidP="007D0557">
      <w:pPr>
        <w:pStyle w:val="BodyText"/>
        <w:spacing w:after="120"/>
        <w:rPr>
          <w:lang w:val="en-GB"/>
        </w:rPr>
      </w:pPr>
      <w:r w:rsidRPr="002370C5">
        <w:rPr>
          <w:lang w:val="en-GB"/>
        </w:rPr>
        <w:t>One United Nations Plaza</w:t>
      </w:r>
      <w:r w:rsidR="0036578B">
        <w:rPr>
          <w:lang w:val="en-GB"/>
        </w:rPr>
        <w:t xml:space="preserve">, </w:t>
      </w:r>
      <w:r w:rsidRPr="002370C5">
        <w:rPr>
          <w:lang w:val="en-GB"/>
        </w:rPr>
        <w:t>New York, NY, 10017 USA</w:t>
      </w:r>
      <w:r w:rsidR="0036578B">
        <w:rPr>
          <w:lang w:val="en-GB"/>
        </w:rPr>
        <w:t xml:space="preserve">, </w:t>
      </w:r>
    </w:p>
    <w:p w14:paraId="2221F097" w14:textId="4DAB26B2" w:rsidR="002370C5" w:rsidRDefault="002370C5" w:rsidP="0036578B">
      <w:pPr>
        <w:pStyle w:val="BodyText"/>
        <w:spacing w:after="120"/>
        <w:rPr>
          <w:lang w:val="en-GB"/>
        </w:rPr>
      </w:pPr>
      <w:r w:rsidRPr="002370C5">
        <w:rPr>
          <w:lang w:val="en-GB"/>
        </w:rPr>
        <w:t xml:space="preserve">www.undp.org – </w:t>
      </w:r>
      <w:hyperlink r:id="rId12" w:history="1">
        <w:r w:rsidR="006356D6" w:rsidRPr="00C75D50">
          <w:rPr>
            <w:rStyle w:val="Hyperlink"/>
            <w:lang w:val="en-GB"/>
          </w:rPr>
          <w:t>www.biodiversityfinance.org</w:t>
        </w:r>
      </w:hyperlink>
    </w:p>
    <w:p w14:paraId="6189570C" w14:textId="77777777" w:rsidR="006943C7" w:rsidRPr="002370C5" w:rsidRDefault="006943C7" w:rsidP="006943C7">
      <w:pPr>
        <w:pStyle w:val="BodyText"/>
        <w:pBdr>
          <w:bottom w:val="single" w:sz="4" w:space="1" w:color="auto"/>
        </w:pBdr>
        <w:rPr>
          <w:sz w:val="2"/>
          <w:szCs w:val="2"/>
          <w:lang w:val="en-GB"/>
        </w:rPr>
      </w:pPr>
      <w:bookmarkStart w:id="0" w:name="_Toc193262861"/>
    </w:p>
    <w:sdt>
      <w:sdtPr>
        <w:rPr>
          <w:rFonts w:ascii="Helvetica" w:eastAsia="Times New Roman" w:hAnsi="Helvetica" w:cs="ArialMT"/>
          <w:color w:val="auto"/>
          <w:sz w:val="22"/>
          <w:szCs w:val="22"/>
        </w:rPr>
        <w:id w:val="-1030182458"/>
        <w:docPartObj>
          <w:docPartGallery w:val="Table of Contents"/>
          <w:docPartUnique/>
        </w:docPartObj>
      </w:sdtPr>
      <w:sdtEndPr>
        <w:rPr>
          <w:rFonts w:cs="Arial"/>
          <w:b/>
          <w:bCs/>
          <w:noProof/>
        </w:rPr>
      </w:sdtEndPr>
      <w:sdtContent>
        <w:p w14:paraId="5F2FE58B" w14:textId="13741677" w:rsidR="009721B3" w:rsidRPr="007D0557" w:rsidRDefault="009721B3" w:rsidP="007D0557">
          <w:pPr>
            <w:pStyle w:val="TOCHeading"/>
            <w:numPr>
              <w:ilvl w:val="0"/>
              <w:numId w:val="0"/>
            </w:numPr>
            <w:rPr>
              <w:rStyle w:val="Heading1Char"/>
              <w:rFonts w:eastAsiaTheme="majorEastAsia" w:cstheme="majorBidi"/>
              <w:bCs w:val="0"/>
              <w:color w:val="C99500" w:themeColor="accent1" w:themeShade="BF"/>
              <w:kern w:val="0"/>
              <w:sz w:val="28"/>
              <w:szCs w:val="28"/>
            </w:rPr>
          </w:pPr>
          <w:r w:rsidRPr="001854F8">
            <w:rPr>
              <w:rStyle w:val="Heading1Char"/>
              <w:rFonts w:eastAsiaTheme="majorEastAsia"/>
            </w:rPr>
            <w:t>Table of Contents</w:t>
          </w:r>
        </w:p>
        <w:p w14:paraId="0903CB4E" w14:textId="1A9AF2B8" w:rsidR="006D5694" w:rsidRDefault="009721B3">
          <w:pPr>
            <w:pStyle w:val="TOC1"/>
            <w:rPr>
              <w:rFonts w:asciiTheme="minorHAnsi" w:eastAsiaTheme="minorEastAsia" w:hAnsiTheme="minorHAnsi" w:cstheme="minorBidi"/>
              <w:b w:val="0"/>
              <w:bCs w:val="0"/>
              <w:lang w:val="en-ZA" w:eastAsia="en-ZA" w:bidi="he-IL"/>
            </w:rPr>
          </w:pPr>
          <w:r w:rsidRPr="001854F8">
            <w:rPr>
              <w:rFonts w:ascii="Arial" w:hAnsi="Arial" w:cs="Arial"/>
              <w:noProof w:val="0"/>
            </w:rPr>
            <w:fldChar w:fldCharType="begin"/>
          </w:r>
          <w:r w:rsidRPr="001854F8">
            <w:rPr>
              <w:rFonts w:ascii="Arial" w:hAnsi="Arial" w:cs="Arial"/>
            </w:rPr>
            <w:instrText xml:space="preserve"> TOC \o "1-3" \h \z \u </w:instrText>
          </w:r>
          <w:r w:rsidRPr="001854F8">
            <w:rPr>
              <w:rFonts w:ascii="Arial" w:hAnsi="Arial" w:cs="Arial"/>
              <w:noProof w:val="0"/>
            </w:rPr>
            <w:fldChar w:fldCharType="separate"/>
          </w:r>
          <w:hyperlink w:anchor="_Toc100834538" w:history="1">
            <w:r w:rsidR="006D5694" w:rsidRPr="006E1AB1">
              <w:rPr>
                <w:rStyle w:val="Hyperlink"/>
              </w:rPr>
              <w:t>Abbreviations and Acronyms</w:t>
            </w:r>
            <w:r w:rsidR="006D5694">
              <w:rPr>
                <w:webHidden/>
              </w:rPr>
              <w:tab/>
            </w:r>
            <w:r w:rsidR="006D5694">
              <w:rPr>
                <w:webHidden/>
              </w:rPr>
              <w:fldChar w:fldCharType="begin"/>
            </w:r>
            <w:r w:rsidR="006D5694">
              <w:rPr>
                <w:webHidden/>
              </w:rPr>
              <w:instrText xml:space="preserve"> PAGEREF _Toc100834538 \h </w:instrText>
            </w:r>
            <w:r w:rsidR="006D5694">
              <w:rPr>
                <w:webHidden/>
              </w:rPr>
            </w:r>
            <w:r w:rsidR="006D5694">
              <w:rPr>
                <w:webHidden/>
              </w:rPr>
              <w:fldChar w:fldCharType="separate"/>
            </w:r>
            <w:r w:rsidR="006D5694">
              <w:rPr>
                <w:webHidden/>
              </w:rPr>
              <w:t>iv</w:t>
            </w:r>
            <w:r w:rsidR="006D5694">
              <w:rPr>
                <w:webHidden/>
              </w:rPr>
              <w:fldChar w:fldCharType="end"/>
            </w:r>
          </w:hyperlink>
        </w:p>
        <w:p w14:paraId="719B2043" w14:textId="0D51E2FE"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39" w:history="1">
            <w:r w:rsidR="006D5694" w:rsidRPr="006E1AB1">
              <w:rPr>
                <w:rStyle w:val="Hyperlink"/>
              </w:rPr>
              <w:t>1.</w:t>
            </w:r>
            <w:r w:rsidR="006D5694">
              <w:rPr>
                <w:rFonts w:asciiTheme="minorHAnsi" w:eastAsiaTheme="minorEastAsia" w:hAnsiTheme="minorHAnsi" w:cstheme="minorBidi"/>
                <w:b w:val="0"/>
                <w:bCs w:val="0"/>
                <w:lang w:val="en-ZA" w:eastAsia="en-ZA" w:bidi="he-IL"/>
              </w:rPr>
              <w:tab/>
            </w:r>
            <w:r w:rsidR="006D5694" w:rsidRPr="006E1AB1">
              <w:rPr>
                <w:rStyle w:val="Hyperlink"/>
              </w:rPr>
              <w:t>Introduction</w:t>
            </w:r>
            <w:r w:rsidR="006D5694">
              <w:rPr>
                <w:webHidden/>
              </w:rPr>
              <w:tab/>
            </w:r>
            <w:r w:rsidR="006D5694">
              <w:rPr>
                <w:webHidden/>
              </w:rPr>
              <w:fldChar w:fldCharType="begin"/>
            </w:r>
            <w:r w:rsidR="006D5694">
              <w:rPr>
                <w:webHidden/>
              </w:rPr>
              <w:instrText xml:space="preserve"> PAGEREF _Toc100834539 \h </w:instrText>
            </w:r>
            <w:r w:rsidR="006D5694">
              <w:rPr>
                <w:webHidden/>
              </w:rPr>
            </w:r>
            <w:r w:rsidR="006D5694">
              <w:rPr>
                <w:webHidden/>
              </w:rPr>
              <w:fldChar w:fldCharType="separate"/>
            </w:r>
            <w:r w:rsidR="006D5694">
              <w:rPr>
                <w:webHidden/>
              </w:rPr>
              <w:t>1</w:t>
            </w:r>
            <w:r w:rsidR="006D5694">
              <w:rPr>
                <w:webHidden/>
              </w:rPr>
              <w:fldChar w:fldCharType="end"/>
            </w:r>
          </w:hyperlink>
        </w:p>
        <w:p w14:paraId="67319BA1" w14:textId="268F57E3"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40" w:history="1">
            <w:r w:rsidR="006D5694" w:rsidRPr="006E1AB1">
              <w:rPr>
                <w:rStyle w:val="Hyperlink"/>
              </w:rPr>
              <w:t>2.</w:t>
            </w:r>
            <w:r w:rsidR="006D5694">
              <w:rPr>
                <w:rFonts w:asciiTheme="minorHAnsi" w:eastAsiaTheme="minorEastAsia" w:hAnsiTheme="minorHAnsi" w:cstheme="minorBidi"/>
                <w:b w:val="0"/>
                <w:bCs w:val="0"/>
                <w:lang w:val="en-ZA" w:eastAsia="en-ZA" w:bidi="he-IL"/>
              </w:rPr>
              <w:tab/>
            </w:r>
            <w:r w:rsidR="006D5694" w:rsidRPr="006E1AB1">
              <w:rPr>
                <w:rStyle w:val="Hyperlink"/>
              </w:rPr>
              <w:t>The permit and licence fees baseline</w:t>
            </w:r>
            <w:r w:rsidR="006D5694">
              <w:rPr>
                <w:webHidden/>
              </w:rPr>
              <w:tab/>
            </w:r>
            <w:r w:rsidR="006D5694">
              <w:rPr>
                <w:webHidden/>
              </w:rPr>
              <w:fldChar w:fldCharType="begin"/>
            </w:r>
            <w:r w:rsidR="006D5694">
              <w:rPr>
                <w:webHidden/>
              </w:rPr>
              <w:instrText xml:space="preserve"> PAGEREF _Toc100834540 \h </w:instrText>
            </w:r>
            <w:r w:rsidR="006D5694">
              <w:rPr>
                <w:webHidden/>
              </w:rPr>
            </w:r>
            <w:r w:rsidR="006D5694">
              <w:rPr>
                <w:webHidden/>
              </w:rPr>
              <w:fldChar w:fldCharType="separate"/>
            </w:r>
            <w:r w:rsidR="006D5694">
              <w:rPr>
                <w:webHidden/>
              </w:rPr>
              <w:t>2</w:t>
            </w:r>
            <w:r w:rsidR="006D5694">
              <w:rPr>
                <w:webHidden/>
              </w:rPr>
              <w:fldChar w:fldCharType="end"/>
            </w:r>
          </w:hyperlink>
        </w:p>
        <w:p w14:paraId="752C61E7" w14:textId="08C0739F"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41" w:history="1">
            <w:r w:rsidR="006D5694" w:rsidRPr="006E1AB1">
              <w:rPr>
                <w:rStyle w:val="Hyperlink"/>
                <w:lang w:val="en-ZA" w:bidi="ar-SA"/>
              </w:rPr>
              <w:t>3.</w:t>
            </w:r>
            <w:r w:rsidR="006D5694">
              <w:rPr>
                <w:rFonts w:asciiTheme="minorHAnsi" w:eastAsiaTheme="minorEastAsia" w:hAnsiTheme="minorHAnsi" w:cstheme="minorBidi"/>
                <w:b w:val="0"/>
                <w:bCs w:val="0"/>
                <w:lang w:val="en-ZA" w:eastAsia="en-ZA" w:bidi="he-IL"/>
              </w:rPr>
              <w:tab/>
            </w:r>
            <w:r w:rsidR="006D5694" w:rsidRPr="006E1AB1">
              <w:rPr>
                <w:rStyle w:val="Hyperlink"/>
                <w:lang w:val="en-ZA" w:bidi="ar-SA"/>
              </w:rPr>
              <w:t>Data and analysis and to assist in fee determination</w:t>
            </w:r>
            <w:r w:rsidR="006D5694">
              <w:rPr>
                <w:webHidden/>
              </w:rPr>
              <w:tab/>
            </w:r>
            <w:r w:rsidR="006D5694">
              <w:rPr>
                <w:webHidden/>
              </w:rPr>
              <w:fldChar w:fldCharType="begin"/>
            </w:r>
            <w:r w:rsidR="006D5694">
              <w:rPr>
                <w:webHidden/>
              </w:rPr>
              <w:instrText xml:space="preserve"> PAGEREF _Toc100834541 \h </w:instrText>
            </w:r>
            <w:r w:rsidR="006D5694">
              <w:rPr>
                <w:webHidden/>
              </w:rPr>
            </w:r>
            <w:r w:rsidR="006D5694">
              <w:rPr>
                <w:webHidden/>
              </w:rPr>
              <w:fldChar w:fldCharType="separate"/>
            </w:r>
            <w:r w:rsidR="006D5694">
              <w:rPr>
                <w:webHidden/>
              </w:rPr>
              <w:t>6</w:t>
            </w:r>
            <w:r w:rsidR="006D5694">
              <w:rPr>
                <w:webHidden/>
              </w:rPr>
              <w:fldChar w:fldCharType="end"/>
            </w:r>
          </w:hyperlink>
        </w:p>
        <w:p w14:paraId="42B4C2C5" w14:textId="1F7BF7B5" w:rsidR="006D5694" w:rsidRDefault="00000000">
          <w:pPr>
            <w:pStyle w:val="TOC2"/>
            <w:tabs>
              <w:tab w:val="left" w:pos="880"/>
              <w:tab w:val="right" w:leader="dot" w:pos="9054"/>
            </w:tabs>
            <w:rPr>
              <w:rFonts w:eastAsiaTheme="minorEastAsia" w:cstheme="minorBidi"/>
              <w:b w:val="0"/>
              <w:bCs w:val="0"/>
              <w:noProof/>
              <w:lang w:val="en-ZA" w:eastAsia="en-ZA" w:bidi="he-IL"/>
            </w:rPr>
          </w:pPr>
          <w:hyperlink w:anchor="_Toc100834542" w:history="1">
            <w:r w:rsidR="006D5694" w:rsidRPr="006E1AB1">
              <w:rPr>
                <w:rStyle w:val="Hyperlink"/>
                <w:noProof/>
                <w:lang w:val="en-ZA" w:bidi="ar-SA"/>
              </w:rPr>
              <w:t>3.1.</w:t>
            </w:r>
            <w:r w:rsidR="006D5694">
              <w:rPr>
                <w:rFonts w:eastAsiaTheme="minorEastAsia" w:cstheme="minorBidi"/>
                <w:b w:val="0"/>
                <w:bCs w:val="0"/>
                <w:noProof/>
                <w:lang w:val="en-ZA" w:eastAsia="en-ZA" w:bidi="he-IL"/>
              </w:rPr>
              <w:tab/>
            </w:r>
            <w:r w:rsidR="006D5694" w:rsidRPr="006E1AB1">
              <w:rPr>
                <w:rStyle w:val="Hyperlink"/>
                <w:noProof/>
                <w:lang w:val="en-ZA" w:bidi="ar-SA"/>
              </w:rPr>
              <w:t>Adjusting fees for inflation</w:t>
            </w:r>
            <w:r w:rsidR="006D5694">
              <w:rPr>
                <w:noProof/>
                <w:webHidden/>
              </w:rPr>
              <w:tab/>
            </w:r>
            <w:r w:rsidR="006D5694">
              <w:rPr>
                <w:noProof/>
                <w:webHidden/>
              </w:rPr>
              <w:fldChar w:fldCharType="begin"/>
            </w:r>
            <w:r w:rsidR="006D5694">
              <w:rPr>
                <w:noProof/>
                <w:webHidden/>
              </w:rPr>
              <w:instrText xml:space="preserve"> PAGEREF _Toc100834542 \h </w:instrText>
            </w:r>
            <w:r w:rsidR="006D5694">
              <w:rPr>
                <w:noProof/>
                <w:webHidden/>
              </w:rPr>
            </w:r>
            <w:r w:rsidR="006D5694">
              <w:rPr>
                <w:noProof/>
                <w:webHidden/>
              </w:rPr>
              <w:fldChar w:fldCharType="separate"/>
            </w:r>
            <w:r w:rsidR="006D5694">
              <w:rPr>
                <w:noProof/>
                <w:webHidden/>
              </w:rPr>
              <w:t>6</w:t>
            </w:r>
            <w:r w:rsidR="006D5694">
              <w:rPr>
                <w:noProof/>
                <w:webHidden/>
              </w:rPr>
              <w:fldChar w:fldCharType="end"/>
            </w:r>
          </w:hyperlink>
        </w:p>
        <w:p w14:paraId="2BA0D01E" w14:textId="7CECCE19" w:rsidR="006D5694" w:rsidRDefault="00000000">
          <w:pPr>
            <w:pStyle w:val="TOC2"/>
            <w:tabs>
              <w:tab w:val="left" w:pos="880"/>
              <w:tab w:val="right" w:leader="dot" w:pos="9054"/>
            </w:tabs>
            <w:rPr>
              <w:rFonts w:eastAsiaTheme="minorEastAsia" w:cstheme="minorBidi"/>
              <w:b w:val="0"/>
              <w:bCs w:val="0"/>
              <w:noProof/>
              <w:lang w:val="en-ZA" w:eastAsia="en-ZA" w:bidi="he-IL"/>
            </w:rPr>
          </w:pPr>
          <w:hyperlink w:anchor="_Toc100834543" w:history="1">
            <w:r w:rsidR="006D5694" w:rsidRPr="006E1AB1">
              <w:rPr>
                <w:rStyle w:val="Hyperlink"/>
                <w:noProof/>
              </w:rPr>
              <w:t>3.2.</w:t>
            </w:r>
            <w:r w:rsidR="006D5694">
              <w:rPr>
                <w:rFonts w:eastAsiaTheme="minorEastAsia" w:cstheme="minorBidi"/>
                <w:b w:val="0"/>
                <w:bCs w:val="0"/>
                <w:noProof/>
                <w:lang w:val="en-ZA" w:eastAsia="en-ZA" w:bidi="he-IL"/>
              </w:rPr>
              <w:tab/>
            </w:r>
            <w:r w:rsidR="006D5694" w:rsidRPr="006E1AB1">
              <w:rPr>
                <w:rStyle w:val="Hyperlink"/>
                <w:noProof/>
              </w:rPr>
              <w:t>Benchmarking and comparing fees</w:t>
            </w:r>
            <w:r w:rsidR="006D5694">
              <w:rPr>
                <w:noProof/>
                <w:webHidden/>
              </w:rPr>
              <w:tab/>
            </w:r>
            <w:r w:rsidR="006D5694">
              <w:rPr>
                <w:noProof/>
                <w:webHidden/>
              </w:rPr>
              <w:fldChar w:fldCharType="begin"/>
            </w:r>
            <w:r w:rsidR="006D5694">
              <w:rPr>
                <w:noProof/>
                <w:webHidden/>
              </w:rPr>
              <w:instrText xml:space="preserve"> PAGEREF _Toc100834543 \h </w:instrText>
            </w:r>
            <w:r w:rsidR="006D5694">
              <w:rPr>
                <w:noProof/>
                <w:webHidden/>
              </w:rPr>
            </w:r>
            <w:r w:rsidR="006D5694">
              <w:rPr>
                <w:noProof/>
                <w:webHidden/>
              </w:rPr>
              <w:fldChar w:fldCharType="separate"/>
            </w:r>
            <w:r w:rsidR="006D5694">
              <w:rPr>
                <w:noProof/>
                <w:webHidden/>
              </w:rPr>
              <w:t>7</w:t>
            </w:r>
            <w:r w:rsidR="006D5694">
              <w:rPr>
                <w:noProof/>
                <w:webHidden/>
              </w:rPr>
              <w:fldChar w:fldCharType="end"/>
            </w:r>
          </w:hyperlink>
        </w:p>
        <w:p w14:paraId="535CCC7D" w14:textId="449F3381" w:rsidR="006D5694" w:rsidRDefault="00000000">
          <w:pPr>
            <w:pStyle w:val="TOC3"/>
            <w:tabs>
              <w:tab w:val="right" w:leader="dot" w:pos="9054"/>
            </w:tabs>
            <w:rPr>
              <w:rFonts w:eastAsiaTheme="minorEastAsia" w:cstheme="minorBidi"/>
              <w:noProof/>
              <w:sz w:val="22"/>
              <w:szCs w:val="22"/>
              <w:lang w:val="en-ZA" w:eastAsia="en-ZA" w:bidi="he-IL"/>
            </w:rPr>
          </w:pPr>
          <w:hyperlink w:anchor="_Toc100834544" w:history="1">
            <w:r w:rsidR="006D5694" w:rsidRPr="006E1AB1">
              <w:rPr>
                <w:rStyle w:val="Hyperlink"/>
                <w:rFonts w:ascii="Calibri" w:hAnsi="Calibri" w:cs="Times New Roman"/>
                <w:b/>
                <w:i/>
                <w:noProof/>
                <w:lang w:val="en-ZA" w:bidi="ar-SA"/>
              </w:rPr>
              <w:t>TOPS</w:t>
            </w:r>
            <w:r w:rsidR="006D5694">
              <w:rPr>
                <w:noProof/>
                <w:webHidden/>
              </w:rPr>
              <w:tab/>
            </w:r>
            <w:r w:rsidR="006D5694">
              <w:rPr>
                <w:noProof/>
                <w:webHidden/>
              </w:rPr>
              <w:fldChar w:fldCharType="begin"/>
            </w:r>
            <w:r w:rsidR="006D5694">
              <w:rPr>
                <w:noProof/>
                <w:webHidden/>
              </w:rPr>
              <w:instrText xml:space="preserve"> PAGEREF _Toc100834544 \h </w:instrText>
            </w:r>
            <w:r w:rsidR="006D5694">
              <w:rPr>
                <w:noProof/>
                <w:webHidden/>
              </w:rPr>
            </w:r>
            <w:r w:rsidR="006D5694">
              <w:rPr>
                <w:noProof/>
                <w:webHidden/>
              </w:rPr>
              <w:fldChar w:fldCharType="separate"/>
            </w:r>
            <w:r w:rsidR="006D5694">
              <w:rPr>
                <w:noProof/>
                <w:webHidden/>
              </w:rPr>
              <w:t>7</w:t>
            </w:r>
            <w:r w:rsidR="006D5694">
              <w:rPr>
                <w:noProof/>
                <w:webHidden/>
              </w:rPr>
              <w:fldChar w:fldCharType="end"/>
            </w:r>
          </w:hyperlink>
        </w:p>
        <w:p w14:paraId="2A1DBD17" w14:textId="6FAA5F2E" w:rsidR="006D5694" w:rsidRDefault="00000000">
          <w:pPr>
            <w:pStyle w:val="TOC3"/>
            <w:tabs>
              <w:tab w:val="right" w:leader="dot" w:pos="9054"/>
            </w:tabs>
            <w:rPr>
              <w:rFonts w:eastAsiaTheme="minorEastAsia" w:cstheme="minorBidi"/>
              <w:noProof/>
              <w:sz w:val="22"/>
              <w:szCs w:val="22"/>
              <w:lang w:val="en-ZA" w:eastAsia="en-ZA" w:bidi="he-IL"/>
            </w:rPr>
          </w:pPr>
          <w:hyperlink w:anchor="_Toc100834545" w:history="1">
            <w:r w:rsidR="006D5694" w:rsidRPr="006E1AB1">
              <w:rPr>
                <w:rStyle w:val="Hyperlink"/>
                <w:rFonts w:ascii="Calibri" w:hAnsi="Calibri" w:cs="Times New Roman"/>
                <w:b/>
                <w:i/>
                <w:noProof/>
                <w:lang w:val="en-ZA" w:bidi="ar-SA"/>
              </w:rPr>
              <w:t>CITES</w:t>
            </w:r>
            <w:r w:rsidR="006D5694">
              <w:rPr>
                <w:noProof/>
                <w:webHidden/>
              </w:rPr>
              <w:tab/>
            </w:r>
            <w:r w:rsidR="006D5694">
              <w:rPr>
                <w:noProof/>
                <w:webHidden/>
              </w:rPr>
              <w:fldChar w:fldCharType="begin"/>
            </w:r>
            <w:r w:rsidR="006D5694">
              <w:rPr>
                <w:noProof/>
                <w:webHidden/>
              </w:rPr>
              <w:instrText xml:space="preserve"> PAGEREF _Toc100834545 \h </w:instrText>
            </w:r>
            <w:r w:rsidR="006D5694">
              <w:rPr>
                <w:noProof/>
                <w:webHidden/>
              </w:rPr>
            </w:r>
            <w:r w:rsidR="006D5694">
              <w:rPr>
                <w:noProof/>
                <w:webHidden/>
              </w:rPr>
              <w:fldChar w:fldCharType="separate"/>
            </w:r>
            <w:r w:rsidR="006D5694">
              <w:rPr>
                <w:noProof/>
                <w:webHidden/>
              </w:rPr>
              <w:t>8</w:t>
            </w:r>
            <w:r w:rsidR="006D5694">
              <w:rPr>
                <w:noProof/>
                <w:webHidden/>
              </w:rPr>
              <w:fldChar w:fldCharType="end"/>
            </w:r>
          </w:hyperlink>
        </w:p>
        <w:p w14:paraId="51EBE17D" w14:textId="0D32963F" w:rsidR="006D5694" w:rsidRDefault="00000000">
          <w:pPr>
            <w:pStyle w:val="TOC3"/>
            <w:tabs>
              <w:tab w:val="right" w:leader="dot" w:pos="9054"/>
            </w:tabs>
            <w:rPr>
              <w:rFonts w:eastAsiaTheme="minorEastAsia" w:cstheme="minorBidi"/>
              <w:noProof/>
              <w:sz w:val="22"/>
              <w:szCs w:val="22"/>
              <w:lang w:val="en-ZA" w:eastAsia="en-ZA" w:bidi="he-IL"/>
            </w:rPr>
          </w:pPr>
          <w:hyperlink w:anchor="_Toc100834546" w:history="1">
            <w:r w:rsidR="006D5694" w:rsidRPr="006E1AB1">
              <w:rPr>
                <w:rStyle w:val="Hyperlink"/>
                <w:rFonts w:ascii="Calibri" w:hAnsi="Calibri" w:cs="Times New Roman"/>
                <w:b/>
                <w:i/>
                <w:noProof/>
                <w:lang w:val="en-ZA" w:eastAsia="en-GB" w:bidi="ar-SA"/>
              </w:rPr>
              <w:t>Whale watching and white shark cage diving</w:t>
            </w:r>
            <w:r w:rsidR="006D5694">
              <w:rPr>
                <w:noProof/>
                <w:webHidden/>
              </w:rPr>
              <w:tab/>
            </w:r>
            <w:r w:rsidR="006D5694">
              <w:rPr>
                <w:noProof/>
                <w:webHidden/>
              </w:rPr>
              <w:fldChar w:fldCharType="begin"/>
            </w:r>
            <w:r w:rsidR="006D5694">
              <w:rPr>
                <w:noProof/>
                <w:webHidden/>
              </w:rPr>
              <w:instrText xml:space="preserve"> PAGEREF _Toc100834546 \h </w:instrText>
            </w:r>
            <w:r w:rsidR="006D5694">
              <w:rPr>
                <w:noProof/>
                <w:webHidden/>
              </w:rPr>
            </w:r>
            <w:r w:rsidR="006D5694">
              <w:rPr>
                <w:noProof/>
                <w:webHidden/>
              </w:rPr>
              <w:fldChar w:fldCharType="separate"/>
            </w:r>
            <w:r w:rsidR="006D5694">
              <w:rPr>
                <w:noProof/>
                <w:webHidden/>
              </w:rPr>
              <w:t>8</w:t>
            </w:r>
            <w:r w:rsidR="006D5694">
              <w:rPr>
                <w:noProof/>
                <w:webHidden/>
              </w:rPr>
              <w:fldChar w:fldCharType="end"/>
            </w:r>
          </w:hyperlink>
        </w:p>
        <w:p w14:paraId="613652D9" w14:textId="5A63C97E" w:rsidR="006D5694" w:rsidRDefault="00000000">
          <w:pPr>
            <w:pStyle w:val="TOC3"/>
            <w:tabs>
              <w:tab w:val="right" w:leader="dot" w:pos="9054"/>
            </w:tabs>
            <w:rPr>
              <w:rFonts w:eastAsiaTheme="minorEastAsia" w:cstheme="minorBidi"/>
              <w:noProof/>
              <w:sz w:val="22"/>
              <w:szCs w:val="22"/>
              <w:lang w:val="en-ZA" w:eastAsia="en-ZA" w:bidi="he-IL"/>
            </w:rPr>
          </w:pPr>
          <w:hyperlink w:anchor="_Toc100834547" w:history="1">
            <w:r w:rsidR="006D5694" w:rsidRPr="006E1AB1">
              <w:rPr>
                <w:rStyle w:val="Hyperlink"/>
                <w:rFonts w:ascii="Calibri" w:hAnsi="Calibri" w:cs="Times New Roman"/>
                <w:b/>
                <w:i/>
                <w:noProof/>
                <w:lang w:val="en-ZA" w:bidi="ar-SA"/>
              </w:rPr>
              <w:t>BABS</w:t>
            </w:r>
            <w:r w:rsidR="006D5694">
              <w:rPr>
                <w:noProof/>
                <w:webHidden/>
              </w:rPr>
              <w:tab/>
            </w:r>
            <w:r w:rsidR="006D5694">
              <w:rPr>
                <w:noProof/>
                <w:webHidden/>
              </w:rPr>
              <w:fldChar w:fldCharType="begin"/>
            </w:r>
            <w:r w:rsidR="006D5694">
              <w:rPr>
                <w:noProof/>
                <w:webHidden/>
              </w:rPr>
              <w:instrText xml:space="preserve"> PAGEREF _Toc100834547 \h </w:instrText>
            </w:r>
            <w:r w:rsidR="006D5694">
              <w:rPr>
                <w:noProof/>
                <w:webHidden/>
              </w:rPr>
            </w:r>
            <w:r w:rsidR="006D5694">
              <w:rPr>
                <w:noProof/>
                <w:webHidden/>
              </w:rPr>
              <w:fldChar w:fldCharType="separate"/>
            </w:r>
            <w:r w:rsidR="006D5694">
              <w:rPr>
                <w:noProof/>
                <w:webHidden/>
              </w:rPr>
              <w:t>9</w:t>
            </w:r>
            <w:r w:rsidR="006D5694">
              <w:rPr>
                <w:noProof/>
                <w:webHidden/>
              </w:rPr>
              <w:fldChar w:fldCharType="end"/>
            </w:r>
          </w:hyperlink>
        </w:p>
        <w:p w14:paraId="7C1531E2" w14:textId="58321498" w:rsidR="006D5694" w:rsidRDefault="00000000">
          <w:pPr>
            <w:pStyle w:val="TOC3"/>
            <w:tabs>
              <w:tab w:val="right" w:leader="dot" w:pos="9054"/>
            </w:tabs>
            <w:rPr>
              <w:rFonts w:eastAsiaTheme="minorEastAsia" w:cstheme="minorBidi"/>
              <w:noProof/>
              <w:sz w:val="22"/>
              <w:szCs w:val="22"/>
              <w:lang w:val="en-ZA" w:eastAsia="en-ZA" w:bidi="he-IL"/>
            </w:rPr>
          </w:pPr>
          <w:hyperlink w:anchor="_Toc100834548" w:history="1">
            <w:r w:rsidR="006D5694" w:rsidRPr="006E1AB1">
              <w:rPr>
                <w:rStyle w:val="Hyperlink"/>
                <w:rFonts w:ascii="Calibri" w:hAnsi="Calibri" w:cs="Times New Roman"/>
                <w:b/>
                <w:i/>
                <w:noProof/>
                <w:lang w:val="en-ZA" w:eastAsia="en-GB" w:bidi="ar-SA"/>
              </w:rPr>
              <w:t>AIS</w:t>
            </w:r>
            <w:r w:rsidR="006D5694">
              <w:rPr>
                <w:noProof/>
                <w:webHidden/>
              </w:rPr>
              <w:tab/>
            </w:r>
            <w:r w:rsidR="006D5694">
              <w:rPr>
                <w:noProof/>
                <w:webHidden/>
              </w:rPr>
              <w:fldChar w:fldCharType="begin"/>
            </w:r>
            <w:r w:rsidR="006D5694">
              <w:rPr>
                <w:noProof/>
                <w:webHidden/>
              </w:rPr>
              <w:instrText xml:space="preserve"> PAGEREF _Toc100834548 \h </w:instrText>
            </w:r>
            <w:r w:rsidR="006D5694">
              <w:rPr>
                <w:noProof/>
                <w:webHidden/>
              </w:rPr>
            </w:r>
            <w:r w:rsidR="006D5694">
              <w:rPr>
                <w:noProof/>
                <w:webHidden/>
              </w:rPr>
              <w:fldChar w:fldCharType="separate"/>
            </w:r>
            <w:r w:rsidR="006D5694">
              <w:rPr>
                <w:noProof/>
                <w:webHidden/>
              </w:rPr>
              <w:t>9</w:t>
            </w:r>
            <w:r w:rsidR="006D5694">
              <w:rPr>
                <w:noProof/>
                <w:webHidden/>
              </w:rPr>
              <w:fldChar w:fldCharType="end"/>
            </w:r>
          </w:hyperlink>
        </w:p>
        <w:p w14:paraId="5427B040" w14:textId="796D9206" w:rsidR="006D5694" w:rsidRDefault="00000000">
          <w:pPr>
            <w:pStyle w:val="TOC3"/>
            <w:tabs>
              <w:tab w:val="right" w:leader="dot" w:pos="9054"/>
            </w:tabs>
            <w:rPr>
              <w:rFonts w:eastAsiaTheme="minorEastAsia" w:cstheme="minorBidi"/>
              <w:noProof/>
              <w:sz w:val="22"/>
              <w:szCs w:val="22"/>
              <w:lang w:val="en-ZA" w:eastAsia="en-ZA" w:bidi="he-IL"/>
            </w:rPr>
          </w:pPr>
          <w:hyperlink w:anchor="_Toc100834549" w:history="1">
            <w:r w:rsidR="006D5694" w:rsidRPr="006E1AB1">
              <w:rPr>
                <w:rStyle w:val="Hyperlink"/>
                <w:rFonts w:ascii="Calibri" w:hAnsi="Calibri" w:cs="Times New Roman"/>
                <w:b/>
                <w:i/>
                <w:noProof/>
                <w:lang w:val="en-ZA" w:eastAsia="en-GB" w:bidi="ar-SA"/>
              </w:rPr>
              <w:t>Hunting and fishing</w:t>
            </w:r>
            <w:r w:rsidR="006D5694">
              <w:rPr>
                <w:noProof/>
                <w:webHidden/>
              </w:rPr>
              <w:tab/>
            </w:r>
            <w:r w:rsidR="006D5694">
              <w:rPr>
                <w:noProof/>
                <w:webHidden/>
              </w:rPr>
              <w:fldChar w:fldCharType="begin"/>
            </w:r>
            <w:r w:rsidR="006D5694">
              <w:rPr>
                <w:noProof/>
                <w:webHidden/>
              </w:rPr>
              <w:instrText xml:space="preserve"> PAGEREF _Toc100834549 \h </w:instrText>
            </w:r>
            <w:r w:rsidR="006D5694">
              <w:rPr>
                <w:noProof/>
                <w:webHidden/>
              </w:rPr>
            </w:r>
            <w:r w:rsidR="006D5694">
              <w:rPr>
                <w:noProof/>
                <w:webHidden/>
              </w:rPr>
              <w:fldChar w:fldCharType="separate"/>
            </w:r>
            <w:r w:rsidR="006D5694">
              <w:rPr>
                <w:noProof/>
                <w:webHidden/>
              </w:rPr>
              <w:t>10</w:t>
            </w:r>
            <w:r w:rsidR="006D5694">
              <w:rPr>
                <w:noProof/>
                <w:webHidden/>
              </w:rPr>
              <w:fldChar w:fldCharType="end"/>
            </w:r>
          </w:hyperlink>
        </w:p>
        <w:p w14:paraId="11A1588D" w14:textId="0834F264" w:rsidR="006D5694" w:rsidRDefault="00000000">
          <w:pPr>
            <w:pStyle w:val="TOC2"/>
            <w:tabs>
              <w:tab w:val="left" w:pos="880"/>
              <w:tab w:val="right" w:leader="dot" w:pos="9054"/>
            </w:tabs>
            <w:rPr>
              <w:rFonts w:eastAsiaTheme="minorEastAsia" w:cstheme="minorBidi"/>
              <w:b w:val="0"/>
              <w:bCs w:val="0"/>
              <w:noProof/>
              <w:lang w:val="en-ZA" w:eastAsia="en-ZA" w:bidi="he-IL"/>
            </w:rPr>
          </w:pPr>
          <w:hyperlink w:anchor="_Toc100834550" w:history="1">
            <w:r w:rsidR="006D5694" w:rsidRPr="006E1AB1">
              <w:rPr>
                <w:rStyle w:val="Hyperlink"/>
                <w:noProof/>
              </w:rPr>
              <w:t>3.3.</w:t>
            </w:r>
            <w:r w:rsidR="006D5694">
              <w:rPr>
                <w:rFonts w:eastAsiaTheme="minorEastAsia" w:cstheme="minorBidi"/>
                <w:b w:val="0"/>
                <w:bCs w:val="0"/>
                <w:noProof/>
                <w:lang w:val="en-ZA" w:eastAsia="en-ZA" w:bidi="he-IL"/>
              </w:rPr>
              <w:tab/>
            </w:r>
            <w:r w:rsidR="006D5694" w:rsidRPr="006E1AB1">
              <w:rPr>
                <w:rStyle w:val="Hyperlink"/>
                <w:noProof/>
              </w:rPr>
              <w:t>Permit and licence processing costs</w:t>
            </w:r>
            <w:r w:rsidR="006D5694">
              <w:rPr>
                <w:noProof/>
                <w:webHidden/>
              </w:rPr>
              <w:tab/>
            </w:r>
            <w:r w:rsidR="006D5694">
              <w:rPr>
                <w:noProof/>
                <w:webHidden/>
              </w:rPr>
              <w:fldChar w:fldCharType="begin"/>
            </w:r>
            <w:r w:rsidR="006D5694">
              <w:rPr>
                <w:noProof/>
                <w:webHidden/>
              </w:rPr>
              <w:instrText xml:space="preserve"> PAGEREF _Toc100834550 \h </w:instrText>
            </w:r>
            <w:r w:rsidR="006D5694">
              <w:rPr>
                <w:noProof/>
                <w:webHidden/>
              </w:rPr>
            </w:r>
            <w:r w:rsidR="006D5694">
              <w:rPr>
                <w:noProof/>
                <w:webHidden/>
              </w:rPr>
              <w:fldChar w:fldCharType="separate"/>
            </w:r>
            <w:r w:rsidR="006D5694">
              <w:rPr>
                <w:noProof/>
                <w:webHidden/>
              </w:rPr>
              <w:t>11</w:t>
            </w:r>
            <w:r w:rsidR="006D5694">
              <w:rPr>
                <w:noProof/>
                <w:webHidden/>
              </w:rPr>
              <w:fldChar w:fldCharType="end"/>
            </w:r>
          </w:hyperlink>
        </w:p>
        <w:p w14:paraId="75CECFC4" w14:textId="38D7EBB2"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1" w:history="1">
            <w:r w:rsidR="006D5694" w:rsidRPr="006E1AB1">
              <w:rPr>
                <w:rStyle w:val="Hyperlink"/>
              </w:rPr>
              <w:t>4.</w:t>
            </w:r>
            <w:r w:rsidR="006D5694">
              <w:rPr>
                <w:rFonts w:asciiTheme="minorHAnsi" w:eastAsiaTheme="minorEastAsia" w:hAnsiTheme="minorHAnsi" w:cstheme="minorBidi"/>
                <w:b w:val="0"/>
                <w:bCs w:val="0"/>
                <w:lang w:val="en-ZA" w:eastAsia="en-ZA" w:bidi="he-IL"/>
              </w:rPr>
              <w:tab/>
            </w:r>
            <w:r w:rsidR="006D5694" w:rsidRPr="006E1AB1">
              <w:rPr>
                <w:rStyle w:val="Hyperlink"/>
              </w:rPr>
              <w:t>The fee determination framework and process</w:t>
            </w:r>
            <w:r w:rsidR="006D5694">
              <w:rPr>
                <w:webHidden/>
              </w:rPr>
              <w:tab/>
            </w:r>
            <w:r w:rsidR="006D5694">
              <w:rPr>
                <w:webHidden/>
              </w:rPr>
              <w:fldChar w:fldCharType="begin"/>
            </w:r>
            <w:r w:rsidR="006D5694">
              <w:rPr>
                <w:webHidden/>
              </w:rPr>
              <w:instrText xml:space="preserve"> PAGEREF _Toc100834551 \h </w:instrText>
            </w:r>
            <w:r w:rsidR="006D5694">
              <w:rPr>
                <w:webHidden/>
              </w:rPr>
            </w:r>
            <w:r w:rsidR="006D5694">
              <w:rPr>
                <w:webHidden/>
              </w:rPr>
              <w:fldChar w:fldCharType="separate"/>
            </w:r>
            <w:r w:rsidR="006D5694">
              <w:rPr>
                <w:webHidden/>
              </w:rPr>
              <w:t>14</w:t>
            </w:r>
            <w:r w:rsidR="006D5694">
              <w:rPr>
                <w:webHidden/>
              </w:rPr>
              <w:fldChar w:fldCharType="end"/>
            </w:r>
          </w:hyperlink>
        </w:p>
        <w:p w14:paraId="1A059B66" w14:textId="7DC7E9D5"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2" w:history="1">
            <w:r w:rsidR="006D5694" w:rsidRPr="006E1AB1">
              <w:rPr>
                <w:rStyle w:val="Hyperlink"/>
              </w:rPr>
              <w:t>5.</w:t>
            </w:r>
            <w:r w:rsidR="006D5694">
              <w:rPr>
                <w:rFonts w:asciiTheme="minorHAnsi" w:eastAsiaTheme="minorEastAsia" w:hAnsiTheme="minorHAnsi" w:cstheme="minorBidi"/>
                <w:b w:val="0"/>
                <w:bCs w:val="0"/>
                <w:lang w:val="en-ZA" w:eastAsia="en-ZA" w:bidi="he-IL"/>
              </w:rPr>
              <w:tab/>
            </w:r>
            <w:r w:rsidR="006D5694" w:rsidRPr="006E1AB1">
              <w:rPr>
                <w:rStyle w:val="Hyperlink"/>
              </w:rPr>
              <w:t>Revenue potential from adjusting fees</w:t>
            </w:r>
            <w:r w:rsidR="006D5694">
              <w:rPr>
                <w:webHidden/>
              </w:rPr>
              <w:tab/>
            </w:r>
            <w:r w:rsidR="006D5694">
              <w:rPr>
                <w:webHidden/>
              </w:rPr>
              <w:fldChar w:fldCharType="begin"/>
            </w:r>
            <w:r w:rsidR="006D5694">
              <w:rPr>
                <w:webHidden/>
              </w:rPr>
              <w:instrText xml:space="preserve"> PAGEREF _Toc100834552 \h </w:instrText>
            </w:r>
            <w:r w:rsidR="006D5694">
              <w:rPr>
                <w:webHidden/>
              </w:rPr>
            </w:r>
            <w:r w:rsidR="006D5694">
              <w:rPr>
                <w:webHidden/>
              </w:rPr>
              <w:fldChar w:fldCharType="separate"/>
            </w:r>
            <w:r w:rsidR="006D5694">
              <w:rPr>
                <w:webHidden/>
              </w:rPr>
              <w:t>17</w:t>
            </w:r>
            <w:r w:rsidR="006D5694">
              <w:rPr>
                <w:webHidden/>
              </w:rPr>
              <w:fldChar w:fldCharType="end"/>
            </w:r>
          </w:hyperlink>
        </w:p>
        <w:p w14:paraId="64276202" w14:textId="02068762"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3" w:history="1">
            <w:r w:rsidR="006D5694" w:rsidRPr="006E1AB1">
              <w:rPr>
                <w:rStyle w:val="Hyperlink"/>
              </w:rPr>
              <w:t>6.</w:t>
            </w:r>
            <w:r w:rsidR="006D5694">
              <w:rPr>
                <w:rFonts w:asciiTheme="minorHAnsi" w:eastAsiaTheme="minorEastAsia" w:hAnsiTheme="minorHAnsi" w:cstheme="minorBidi"/>
                <w:b w:val="0"/>
                <w:bCs w:val="0"/>
                <w:lang w:val="en-ZA" w:eastAsia="en-ZA" w:bidi="he-IL"/>
              </w:rPr>
              <w:tab/>
            </w:r>
            <w:r w:rsidR="006D5694" w:rsidRPr="006E1AB1">
              <w:rPr>
                <w:rStyle w:val="Hyperlink"/>
              </w:rPr>
              <w:t>Standardization of fees</w:t>
            </w:r>
            <w:r w:rsidR="006D5694">
              <w:rPr>
                <w:webHidden/>
              </w:rPr>
              <w:tab/>
            </w:r>
            <w:r w:rsidR="006D5694">
              <w:rPr>
                <w:webHidden/>
              </w:rPr>
              <w:fldChar w:fldCharType="begin"/>
            </w:r>
            <w:r w:rsidR="006D5694">
              <w:rPr>
                <w:webHidden/>
              </w:rPr>
              <w:instrText xml:space="preserve"> PAGEREF _Toc100834553 \h </w:instrText>
            </w:r>
            <w:r w:rsidR="006D5694">
              <w:rPr>
                <w:webHidden/>
              </w:rPr>
            </w:r>
            <w:r w:rsidR="006D5694">
              <w:rPr>
                <w:webHidden/>
              </w:rPr>
              <w:fldChar w:fldCharType="separate"/>
            </w:r>
            <w:r w:rsidR="006D5694">
              <w:rPr>
                <w:webHidden/>
              </w:rPr>
              <w:t>18</w:t>
            </w:r>
            <w:r w:rsidR="006D5694">
              <w:rPr>
                <w:webHidden/>
              </w:rPr>
              <w:fldChar w:fldCharType="end"/>
            </w:r>
          </w:hyperlink>
        </w:p>
        <w:p w14:paraId="55E7CB48" w14:textId="03766E8B"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4" w:history="1">
            <w:r w:rsidR="006D5694" w:rsidRPr="006E1AB1">
              <w:rPr>
                <w:rStyle w:val="Hyperlink"/>
              </w:rPr>
              <w:t>7.</w:t>
            </w:r>
            <w:r w:rsidR="006D5694">
              <w:rPr>
                <w:rFonts w:asciiTheme="minorHAnsi" w:eastAsiaTheme="minorEastAsia" w:hAnsiTheme="minorHAnsi" w:cstheme="minorBidi"/>
                <w:b w:val="0"/>
                <w:bCs w:val="0"/>
                <w:lang w:val="en-ZA" w:eastAsia="en-ZA" w:bidi="he-IL"/>
              </w:rPr>
              <w:tab/>
            </w:r>
            <w:r w:rsidR="006D5694" w:rsidRPr="006E1AB1">
              <w:rPr>
                <w:rStyle w:val="Hyperlink"/>
              </w:rPr>
              <w:t>Conclusions</w:t>
            </w:r>
            <w:r w:rsidR="006D5694">
              <w:rPr>
                <w:webHidden/>
              </w:rPr>
              <w:tab/>
            </w:r>
            <w:r w:rsidR="006D5694">
              <w:rPr>
                <w:webHidden/>
              </w:rPr>
              <w:fldChar w:fldCharType="begin"/>
            </w:r>
            <w:r w:rsidR="006D5694">
              <w:rPr>
                <w:webHidden/>
              </w:rPr>
              <w:instrText xml:space="preserve"> PAGEREF _Toc100834554 \h </w:instrText>
            </w:r>
            <w:r w:rsidR="006D5694">
              <w:rPr>
                <w:webHidden/>
              </w:rPr>
            </w:r>
            <w:r w:rsidR="006D5694">
              <w:rPr>
                <w:webHidden/>
              </w:rPr>
              <w:fldChar w:fldCharType="separate"/>
            </w:r>
            <w:r w:rsidR="006D5694">
              <w:rPr>
                <w:webHidden/>
              </w:rPr>
              <w:t>18</w:t>
            </w:r>
            <w:r w:rsidR="006D5694">
              <w:rPr>
                <w:webHidden/>
              </w:rPr>
              <w:fldChar w:fldCharType="end"/>
            </w:r>
          </w:hyperlink>
        </w:p>
        <w:p w14:paraId="386E59DB" w14:textId="3024E105"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5" w:history="1">
            <w:r w:rsidR="006D5694" w:rsidRPr="006E1AB1">
              <w:rPr>
                <w:rStyle w:val="Hyperlink"/>
              </w:rPr>
              <w:t>8.</w:t>
            </w:r>
            <w:r w:rsidR="006D5694">
              <w:rPr>
                <w:rFonts w:asciiTheme="minorHAnsi" w:eastAsiaTheme="minorEastAsia" w:hAnsiTheme="minorHAnsi" w:cstheme="minorBidi"/>
                <w:b w:val="0"/>
                <w:bCs w:val="0"/>
                <w:lang w:val="en-ZA" w:eastAsia="en-ZA" w:bidi="he-IL"/>
              </w:rPr>
              <w:tab/>
            </w:r>
            <w:r w:rsidR="006D5694" w:rsidRPr="006E1AB1">
              <w:rPr>
                <w:rStyle w:val="Hyperlink"/>
              </w:rPr>
              <w:t>References</w:t>
            </w:r>
            <w:r w:rsidR="006D5694">
              <w:rPr>
                <w:webHidden/>
              </w:rPr>
              <w:tab/>
            </w:r>
            <w:r w:rsidR="006D5694">
              <w:rPr>
                <w:webHidden/>
              </w:rPr>
              <w:fldChar w:fldCharType="begin"/>
            </w:r>
            <w:r w:rsidR="006D5694">
              <w:rPr>
                <w:webHidden/>
              </w:rPr>
              <w:instrText xml:space="preserve"> PAGEREF _Toc100834555 \h </w:instrText>
            </w:r>
            <w:r w:rsidR="006D5694">
              <w:rPr>
                <w:webHidden/>
              </w:rPr>
            </w:r>
            <w:r w:rsidR="006D5694">
              <w:rPr>
                <w:webHidden/>
              </w:rPr>
              <w:fldChar w:fldCharType="separate"/>
            </w:r>
            <w:r w:rsidR="006D5694">
              <w:rPr>
                <w:webHidden/>
              </w:rPr>
              <w:t>20</w:t>
            </w:r>
            <w:r w:rsidR="006D5694">
              <w:rPr>
                <w:webHidden/>
              </w:rPr>
              <w:fldChar w:fldCharType="end"/>
            </w:r>
          </w:hyperlink>
        </w:p>
        <w:p w14:paraId="7C79F215" w14:textId="5FAC8DAC" w:rsidR="006D5694" w:rsidRDefault="00000000">
          <w:pPr>
            <w:pStyle w:val="TOC1"/>
            <w:tabs>
              <w:tab w:val="left" w:pos="440"/>
            </w:tabs>
            <w:rPr>
              <w:rFonts w:asciiTheme="minorHAnsi" w:eastAsiaTheme="minorEastAsia" w:hAnsiTheme="minorHAnsi" w:cstheme="minorBidi"/>
              <w:b w:val="0"/>
              <w:bCs w:val="0"/>
              <w:lang w:val="en-ZA" w:eastAsia="en-ZA" w:bidi="he-IL"/>
            </w:rPr>
          </w:pPr>
          <w:hyperlink w:anchor="_Toc100834556" w:history="1">
            <w:r w:rsidR="006D5694" w:rsidRPr="006E1AB1">
              <w:rPr>
                <w:rStyle w:val="Hyperlink"/>
              </w:rPr>
              <w:t>9.</w:t>
            </w:r>
            <w:r w:rsidR="006D5694">
              <w:rPr>
                <w:rFonts w:asciiTheme="minorHAnsi" w:eastAsiaTheme="minorEastAsia" w:hAnsiTheme="minorHAnsi" w:cstheme="minorBidi"/>
                <w:b w:val="0"/>
                <w:bCs w:val="0"/>
                <w:lang w:val="en-ZA" w:eastAsia="en-ZA" w:bidi="he-IL"/>
              </w:rPr>
              <w:tab/>
            </w:r>
            <w:r w:rsidR="006D5694" w:rsidRPr="006E1AB1">
              <w:rPr>
                <w:rStyle w:val="Hyperlink"/>
              </w:rPr>
              <w:t>Appendices</w:t>
            </w:r>
            <w:r w:rsidR="006D5694">
              <w:rPr>
                <w:webHidden/>
              </w:rPr>
              <w:tab/>
            </w:r>
            <w:r w:rsidR="006D5694">
              <w:rPr>
                <w:webHidden/>
              </w:rPr>
              <w:fldChar w:fldCharType="begin"/>
            </w:r>
            <w:r w:rsidR="006D5694">
              <w:rPr>
                <w:webHidden/>
              </w:rPr>
              <w:instrText xml:space="preserve"> PAGEREF _Toc100834556 \h </w:instrText>
            </w:r>
            <w:r w:rsidR="006D5694">
              <w:rPr>
                <w:webHidden/>
              </w:rPr>
            </w:r>
            <w:r w:rsidR="006D5694">
              <w:rPr>
                <w:webHidden/>
              </w:rPr>
              <w:fldChar w:fldCharType="separate"/>
            </w:r>
            <w:r w:rsidR="006D5694">
              <w:rPr>
                <w:webHidden/>
              </w:rPr>
              <w:t>22</w:t>
            </w:r>
            <w:r w:rsidR="006D5694">
              <w:rPr>
                <w:webHidden/>
              </w:rPr>
              <w:fldChar w:fldCharType="end"/>
            </w:r>
          </w:hyperlink>
        </w:p>
        <w:p w14:paraId="4DBE3D6B" w14:textId="6D49136D" w:rsidR="009721B3" w:rsidRPr="001854F8" w:rsidRDefault="009721B3">
          <w:pPr>
            <w:rPr>
              <w:rFonts w:ascii="Arial" w:hAnsi="Arial" w:cs="Arial"/>
            </w:rPr>
          </w:pPr>
          <w:r w:rsidRPr="001854F8">
            <w:rPr>
              <w:rFonts w:ascii="Arial" w:hAnsi="Arial" w:cs="Arial"/>
              <w:b/>
              <w:bCs/>
              <w:noProof/>
            </w:rPr>
            <w:fldChar w:fldCharType="end"/>
          </w:r>
        </w:p>
      </w:sdtContent>
    </w:sdt>
    <w:p w14:paraId="45358AED" w14:textId="77777777" w:rsidR="008663D0" w:rsidRDefault="008663D0">
      <w:pPr>
        <w:autoSpaceDE/>
        <w:autoSpaceDN/>
        <w:adjustRightInd/>
        <w:spacing w:after="0" w:line="240" w:lineRule="auto"/>
        <w:rPr>
          <w:rFonts w:ascii="Arial" w:hAnsi="Arial" w:cs="Arial"/>
          <w:bCs/>
          <w:color w:val="143C71"/>
          <w:kern w:val="32"/>
          <w:sz w:val="40"/>
          <w:szCs w:val="40"/>
        </w:rPr>
      </w:pPr>
      <w:r>
        <w:br w:type="page"/>
      </w:r>
    </w:p>
    <w:p w14:paraId="42000F9A" w14:textId="72AF2BF0" w:rsidR="0017293C" w:rsidRPr="001854F8" w:rsidRDefault="005B6BF5" w:rsidP="00D0077F">
      <w:pPr>
        <w:pStyle w:val="Heading1"/>
        <w:numPr>
          <w:ilvl w:val="0"/>
          <w:numId w:val="0"/>
        </w:numPr>
      </w:pPr>
      <w:bookmarkStart w:id="1" w:name="_Toc100834538"/>
      <w:r w:rsidRPr="001854F8">
        <w:lastRenderedPageBreak/>
        <w:t>Abbreviations and Acronyms</w:t>
      </w:r>
      <w:bookmarkEnd w:id="1"/>
    </w:p>
    <w:tbl>
      <w:tblPr>
        <w:tblStyle w:val="OU1"/>
        <w:tblW w:w="0" w:type="auto"/>
        <w:tblBorders>
          <w:bottom w:val="single" w:sz="4" w:space="0" w:color="auto"/>
          <w:insideH w:val="single" w:sz="4" w:space="0" w:color="auto"/>
        </w:tblBorders>
        <w:tblLook w:val="04A0" w:firstRow="1" w:lastRow="0" w:firstColumn="1" w:lastColumn="0" w:noHBand="0" w:noVBand="1"/>
      </w:tblPr>
      <w:tblGrid>
        <w:gridCol w:w="1701"/>
        <w:gridCol w:w="7363"/>
      </w:tblGrid>
      <w:tr w:rsidR="000A3B21" w:rsidRPr="001854F8" w14:paraId="202A0117" w14:textId="77777777" w:rsidTr="004B1E7E">
        <w:trPr>
          <w:trHeight w:hRule="exact" w:val="284"/>
        </w:trPr>
        <w:tc>
          <w:tcPr>
            <w:tcW w:w="1701" w:type="dxa"/>
          </w:tcPr>
          <w:p w14:paraId="176371A5" w14:textId="089E8FDC" w:rsidR="000A3B21" w:rsidRPr="004B1E7E" w:rsidRDefault="00601F64" w:rsidP="001854F8">
            <w:pPr>
              <w:pStyle w:val="BodyText"/>
              <w:rPr>
                <w:sz w:val="18"/>
                <w:szCs w:val="18"/>
              </w:rPr>
            </w:pPr>
            <w:r w:rsidRPr="004B1E7E">
              <w:rPr>
                <w:sz w:val="18"/>
                <w:szCs w:val="18"/>
              </w:rPr>
              <w:t>AIS</w:t>
            </w:r>
          </w:p>
        </w:tc>
        <w:tc>
          <w:tcPr>
            <w:tcW w:w="7363" w:type="dxa"/>
          </w:tcPr>
          <w:p w14:paraId="5D0B9397" w14:textId="4C908CF4" w:rsidR="000A3B21" w:rsidRPr="004B1E7E" w:rsidRDefault="00122D21" w:rsidP="00122D21">
            <w:pPr>
              <w:rPr>
                <w:rFonts w:ascii="Arial" w:hAnsi="Arial" w:cs="Arial"/>
                <w:sz w:val="18"/>
                <w:szCs w:val="18"/>
              </w:rPr>
            </w:pPr>
            <w:r w:rsidRPr="004B1E7E">
              <w:rPr>
                <w:rFonts w:ascii="Arial" w:hAnsi="Arial" w:cs="Arial"/>
                <w:sz w:val="18"/>
                <w:szCs w:val="18"/>
              </w:rPr>
              <w:t>Alien and Invasive Species</w:t>
            </w:r>
          </w:p>
        </w:tc>
      </w:tr>
      <w:tr w:rsidR="008F34ED" w:rsidRPr="001854F8" w14:paraId="72EEF908" w14:textId="77777777" w:rsidTr="004B1E7E">
        <w:trPr>
          <w:trHeight w:hRule="exact" w:val="284"/>
        </w:trPr>
        <w:tc>
          <w:tcPr>
            <w:tcW w:w="1701" w:type="dxa"/>
          </w:tcPr>
          <w:p w14:paraId="0678A527" w14:textId="11ACE2C7" w:rsidR="008F34ED" w:rsidRPr="004B1E7E" w:rsidRDefault="003C2506" w:rsidP="001854F8">
            <w:pPr>
              <w:pStyle w:val="BodyText"/>
              <w:rPr>
                <w:sz w:val="18"/>
                <w:szCs w:val="18"/>
              </w:rPr>
            </w:pPr>
            <w:r w:rsidRPr="004B1E7E">
              <w:rPr>
                <w:sz w:val="18"/>
                <w:szCs w:val="18"/>
              </w:rPr>
              <w:t>AUDSEWPC</w:t>
            </w:r>
          </w:p>
        </w:tc>
        <w:tc>
          <w:tcPr>
            <w:tcW w:w="7363" w:type="dxa"/>
            <w:vAlign w:val="top"/>
          </w:tcPr>
          <w:p w14:paraId="5D647BD1" w14:textId="1F3E5143" w:rsidR="008F34ED" w:rsidRPr="004B1E7E" w:rsidRDefault="00847575" w:rsidP="00847575">
            <w:pPr>
              <w:tabs>
                <w:tab w:val="left" w:pos="5350"/>
              </w:tabs>
              <w:rPr>
                <w:rFonts w:ascii="Arial" w:hAnsi="Arial" w:cs="Arial"/>
                <w:sz w:val="18"/>
                <w:szCs w:val="18"/>
              </w:rPr>
            </w:pPr>
            <w:r w:rsidRPr="004B1E7E">
              <w:rPr>
                <w:rFonts w:ascii="Arial" w:hAnsi="Arial" w:cs="Arial"/>
                <w:sz w:val="18"/>
                <w:szCs w:val="18"/>
              </w:rPr>
              <w:t xml:space="preserve">Australian Department of Sustainability, Environment, Water, Population and Communities </w:t>
            </w:r>
          </w:p>
        </w:tc>
      </w:tr>
      <w:tr w:rsidR="008F34ED" w:rsidRPr="001854F8" w14:paraId="63C0F316" w14:textId="77777777" w:rsidTr="004B1E7E">
        <w:trPr>
          <w:trHeight w:hRule="exact" w:val="284"/>
        </w:trPr>
        <w:tc>
          <w:tcPr>
            <w:tcW w:w="1701" w:type="dxa"/>
          </w:tcPr>
          <w:p w14:paraId="54D4AEA0" w14:textId="452FB663" w:rsidR="008F34ED" w:rsidRPr="004B1E7E" w:rsidRDefault="00642FC3" w:rsidP="001854F8">
            <w:pPr>
              <w:pStyle w:val="BodyText"/>
              <w:rPr>
                <w:sz w:val="18"/>
                <w:szCs w:val="18"/>
              </w:rPr>
            </w:pPr>
            <w:r w:rsidRPr="004B1E7E">
              <w:rPr>
                <w:sz w:val="18"/>
                <w:szCs w:val="18"/>
              </w:rPr>
              <w:t>BA</w:t>
            </w:r>
          </w:p>
        </w:tc>
        <w:tc>
          <w:tcPr>
            <w:tcW w:w="7363" w:type="dxa"/>
            <w:vAlign w:val="top"/>
          </w:tcPr>
          <w:p w14:paraId="7E3C20BD" w14:textId="11E4DC8E" w:rsidR="008F34ED" w:rsidRPr="004B1E7E" w:rsidRDefault="000B6A17" w:rsidP="000B6A17">
            <w:pPr>
              <w:rPr>
                <w:rFonts w:ascii="Arial" w:hAnsi="Arial" w:cs="Arial"/>
                <w:sz w:val="18"/>
                <w:szCs w:val="18"/>
              </w:rPr>
            </w:pPr>
            <w:r w:rsidRPr="004B1E7E">
              <w:rPr>
                <w:rFonts w:ascii="Arial" w:hAnsi="Arial" w:cs="Arial"/>
                <w:sz w:val="18"/>
                <w:szCs w:val="18"/>
              </w:rPr>
              <w:t xml:space="preserve">Basic Assessment </w:t>
            </w:r>
          </w:p>
        </w:tc>
      </w:tr>
      <w:tr w:rsidR="008F34ED" w:rsidRPr="001854F8" w14:paraId="75476674" w14:textId="77777777" w:rsidTr="004B1E7E">
        <w:trPr>
          <w:trHeight w:hRule="exact" w:val="284"/>
        </w:trPr>
        <w:tc>
          <w:tcPr>
            <w:tcW w:w="1701" w:type="dxa"/>
          </w:tcPr>
          <w:p w14:paraId="7C3A79B7" w14:textId="444F9FA0" w:rsidR="008F34ED" w:rsidRPr="004B1E7E" w:rsidRDefault="00E13EE5" w:rsidP="001854F8">
            <w:pPr>
              <w:pStyle w:val="BodyText"/>
              <w:rPr>
                <w:sz w:val="18"/>
                <w:szCs w:val="18"/>
              </w:rPr>
            </w:pPr>
            <w:r w:rsidRPr="004B1E7E">
              <w:rPr>
                <w:sz w:val="18"/>
                <w:szCs w:val="18"/>
              </w:rPr>
              <w:t>BABS</w:t>
            </w:r>
          </w:p>
        </w:tc>
        <w:tc>
          <w:tcPr>
            <w:tcW w:w="7363" w:type="dxa"/>
            <w:vAlign w:val="top"/>
          </w:tcPr>
          <w:p w14:paraId="6A5C62CE" w14:textId="7AE29C78" w:rsidR="008F34ED" w:rsidRPr="004B1E7E" w:rsidRDefault="00311604" w:rsidP="00311604">
            <w:pPr>
              <w:rPr>
                <w:rFonts w:ascii="Arial" w:hAnsi="Arial" w:cs="Arial"/>
                <w:sz w:val="18"/>
                <w:szCs w:val="18"/>
              </w:rPr>
            </w:pPr>
            <w:r w:rsidRPr="004B1E7E">
              <w:rPr>
                <w:rFonts w:ascii="Arial" w:hAnsi="Arial" w:cs="Arial"/>
                <w:sz w:val="18"/>
                <w:szCs w:val="18"/>
              </w:rPr>
              <w:t xml:space="preserve">Bioprospecting Access and Benefit Sharing </w:t>
            </w:r>
          </w:p>
        </w:tc>
      </w:tr>
      <w:tr w:rsidR="008F34ED" w:rsidRPr="001854F8" w14:paraId="00787641" w14:textId="77777777" w:rsidTr="004B1E7E">
        <w:trPr>
          <w:trHeight w:hRule="exact" w:val="284"/>
        </w:trPr>
        <w:tc>
          <w:tcPr>
            <w:tcW w:w="1701" w:type="dxa"/>
          </w:tcPr>
          <w:p w14:paraId="4F326660" w14:textId="7FF58663" w:rsidR="008F34ED" w:rsidRPr="004B1E7E" w:rsidRDefault="008A5E6B" w:rsidP="001854F8">
            <w:pPr>
              <w:pStyle w:val="BodyText"/>
              <w:rPr>
                <w:sz w:val="18"/>
                <w:szCs w:val="18"/>
              </w:rPr>
            </w:pPr>
            <w:r w:rsidRPr="004B1E7E">
              <w:rPr>
                <w:sz w:val="18"/>
                <w:szCs w:val="18"/>
              </w:rPr>
              <w:t>B</w:t>
            </w:r>
            <w:r w:rsidR="00C55582">
              <w:rPr>
                <w:sz w:val="18"/>
                <w:szCs w:val="18"/>
              </w:rPr>
              <w:t>-</w:t>
            </w:r>
            <w:r w:rsidRPr="004B1E7E">
              <w:rPr>
                <w:sz w:val="18"/>
                <w:szCs w:val="18"/>
              </w:rPr>
              <w:t>BBEE</w:t>
            </w:r>
          </w:p>
        </w:tc>
        <w:tc>
          <w:tcPr>
            <w:tcW w:w="7363" w:type="dxa"/>
            <w:vAlign w:val="top"/>
          </w:tcPr>
          <w:p w14:paraId="5B8E62FD" w14:textId="170C7FB1" w:rsidR="008F34ED" w:rsidRPr="004B1E7E" w:rsidRDefault="007D3977" w:rsidP="007D3977">
            <w:pPr>
              <w:rPr>
                <w:rFonts w:ascii="Arial" w:hAnsi="Arial" w:cs="Arial"/>
                <w:sz w:val="18"/>
                <w:szCs w:val="18"/>
              </w:rPr>
            </w:pPr>
            <w:r w:rsidRPr="004B1E7E">
              <w:rPr>
                <w:rFonts w:ascii="Arial" w:hAnsi="Arial" w:cs="Arial"/>
                <w:sz w:val="18"/>
                <w:szCs w:val="18"/>
              </w:rPr>
              <w:t xml:space="preserve">Broad-based Black Economic Empowerment </w:t>
            </w:r>
          </w:p>
        </w:tc>
      </w:tr>
      <w:tr w:rsidR="008F34ED" w:rsidRPr="001854F8" w14:paraId="5D7F8E28" w14:textId="77777777" w:rsidTr="004B1E7E">
        <w:trPr>
          <w:trHeight w:hRule="exact" w:val="284"/>
        </w:trPr>
        <w:tc>
          <w:tcPr>
            <w:tcW w:w="1701" w:type="dxa"/>
          </w:tcPr>
          <w:p w14:paraId="285D5622" w14:textId="018EE028" w:rsidR="008F34ED" w:rsidRPr="004B1E7E" w:rsidRDefault="0057412C" w:rsidP="001854F8">
            <w:pPr>
              <w:pStyle w:val="BodyText"/>
              <w:rPr>
                <w:sz w:val="18"/>
                <w:szCs w:val="18"/>
              </w:rPr>
            </w:pPr>
            <w:r w:rsidRPr="004B1E7E">
              <w:rPr>
                <w:sz w:val="18"/>
                <w:szCs w:val="18"/>
              </w:rPr>
              <w:t>BIOFIN</w:t>
            </w:r>
          </w:p>
        </w:tc>
        <w:tc>
          <w:tcPr>
            <w:tcW w:w="7363" w:type="dxa"/>
            <w:vAlign w:val="top"/>
          </w:tcPr>
          <w:p w14:paraId="1FBE2AE0" w14:textId="669207CB" w:rsidR="008F34ED" w:rsidRPr="004B1E7E" w:rsidRDefault="006514E0" w:rsidP="006514E0">
            <w:pPr>
              <w:rPr>
                <w:rFonts w:ascii="Arial" w:hAnsi="Arial" w:cs="Arial"/>
                <w:sz w:val="18"/>
                <w:szCs w:val="18"/>
              </w:rPr>
            </w:pPr>
            <w:r w:rsidRPr="004B1E7E">
              <w:rPr>
                <w:rFonts w:ascii="Arial" w:hAnsi="Arial" w:cs="Arial"/>
                <w:sz w:val="18"/>
                <w:szCs w:val="18"/>
              </w:rPr>
              <w:t xml:space="preserve">Biodiversity Finance Initiative </w:t>
            </w:r>
          </w:p>
        </w:tc>
      </w:tr>
      <w:tr w:rsidR="008F34ED" w:rsidRPr="001854F8" w14:paraId="2A4249B2" w14:textId="77777777" w:rsidTr="004B1E7E">
        <w:trPr>
          <w:trHeight w:hRule="exact" w:val="284"/>
        </w:trPr>
        <w:tc>
          <w:tcPr>
            <w:tcW w:w="1701" w:type="dxa"/>
          </w:tcPr>
          <w:p w14:paraId="017D6E43" w14:textId="4F2599FD" w:rsidR="008F34ED" w:rsidRPr="004B1E7E" w:rsidRDefault="00F60643" w:rsidP="001854F8">
            <w:pPr>
              <w:pStyle w:val="BodyText"/>
              <w:rPr>
                <w:sz w:val="18"/>
                <w:szCs w:val="18"/>
              </w:rPr>
            </w:pPr>
            <w:r w:rsidRPr="004B1E7E">
              <w:rPr>
                <w:sz w:val="18"/>
                <w:szCs w:val="18"/>
                <w:lang w:val="en-ZA"/>
              </w:rPr>
              <w:t>CapeNature</w:t>
            </w:r>
          </w:p>
        </w:tc>
        <w:tc>
          <w:tcPr>
            <w:tcW w:w="7363" w:type="dxa"/>
            <w:vAlign w:val="top"/>
          </w:tcPr>
          <w:p w14:paraId="43FBB457" w14:textId="6B581327" w:rsidR="008F34ED" w:rsidRPr="004B1E7E" w:rsidRDefault="002D34F2" w:rsidP="002D34F2">
            <w:pPr>
              <w:rPr>
                <w:rFonts w:ascii="Arial" w:hAnsi="Arial" w:cs="Arial"/>
                <w:sz w:val="18"/>
                <w:szCs w:val="18"/>
              </w:rPr>
            </w:pPr>
            <w:r w:rsidRPr="004B1E7E">
              <w:rPr>
                <w:rFonts w:ascii="Arial" w:hAnsi="Arial" w:cs="Arial"/>
                <w:sz w:val="18"/>
                <w:szCs w:val="18"/>
                <w:lang w:val="en-ZA"/>
              </w:rPr>
              <w:t>Western Cape Nature Conservation Board</w:t>
            </w:r>
            <w:r w:rsidRPr="004B1E7E">
              <w:rPr>
                <w:rFonts w:ascii="Arial" w:hAnsi="Arial" w:cs="Arial"/>
                <w:sz w:val="18"/>
                <w:szCs w:val="18"/>
              </w:rPr>
              <w:t xml:space="preserve"> </w:t>
            </w:r>
          </w:p>
        </w:tc>
      </w:tr>
      <w:tr w:rsidR="008F34ED" w:rsidRPr="001854F8" w14:paraId="7746602E" w14:textId="77777777" w:rsidTr="004B1E7E">
        <w:trPr>
          <w:trHeight w:hRule="exact" w:val="284"/>
        </w:trPr>
        <w:tc>
          <w:tcPr>
            <w:tcW w:w="1701" w:type="dxa"/>
          </w:tcPr>
          <w:p w14:paraId="4C11F9AB" w14:textId="41F86A81" w:rsidR="008F34ED" w:rsidRPr="004B1E7E" w:rsidRDefault="00A45ADB" w:rsidP="001854F8">
            <w:pPr>
              <w:pStyle w:val="BodyText"/>
              <w:rPr>
                <w:sz w:val="18"/>
                <w:szCs w:val="18"/>
              </w:rPr>
            </w:pPr>
            <w:r w:rsidRPr="004B1E7E">
              <w:rPr>
                <w:sz w:val="18"/>
                <w:szCs w:val="18"/>
              </w:rPr>
              <w:t>CITES</w:t>
            </w:r>
          </w:p>
        </w:tc>
        <w:tc>
          <w:tcPr>
            <w:tcW w:w="7363" w:type="dxa"/>
            <w:vAlign w:val="top"/>
          </w:tcPr>
          <w:p w14:paraId="68A40450" w14:textId="1124ECD3" w:rsidR="008F34ED" w:rsidRPr="004B1E7E" w:rsidRDefault="00122E0C" w:rsidP="00122E0C">
            <w:pPr>
              <w:rPr>
                <w:rFonts w:ascii="Arial" w:hAnsi="Arial" w:cs="Arial"/>
                <w:sz w:val="18"/>
                <w:szCs w:val="18"/>
              </w:rPr>
            </w:pPr>
            <w:r w:rsidRPr="004B1E7E">
              <w:rPr>
                <w:rFonts w:ascii="Arial" w:hAnsi="Arial" w:cs="Arial"/>
                <w:sz w:val="18"/>
                <w:szCs w:val="18"/>
              </w:rPr>
              <w:t>Convention on International Trade in Endangered Species of Wild Fauna and Flora</w:t>
            </w:r>
          </w:p>
        </w:tc>
      </w:tr>
      <w:tr w:rsidR="002D34F2" w:rsidRPr="001854F8" w14:paraId="387FE150" w14:textId="77777777" w:rsidTr="004B1E7E">
        <w:trPr>
          <w:trHeight w:hRule="exact" w:val="284"/>
        </w:trPr>
        <w:tc>
          <w:tcPr>
            <w:tcW w:w="1701" w:type="dxa"/>
          </w:tcPr>
          <w:p w14:paraId="31244C0E" w14:textId="4C1EB270" w:rsidR="002D34F2" w:rsidRPr="004B1E7E" w:rsidRDefault="00EA296D" w:rsidP="001854F8">
            <w:pPr>
              <w:pStyle w:val="BodyText"/>
              <w:rPr>
                <w:sz w:val="18"/>
                <w:szCs w:val="18"/>
              </w:rPr>
            </w:pPr>
            <w:r w:rsidRPr="004B1E7E">
              <w:rPr>
                <w:sz w:val="18"/>
                <w:szCs w:val="18"/>
              </w:rPr>
              <w:t>CVM</w:t>
            </w:r>
          </w:p>
        </w:tc>
        <w:tc>
          <w:tcPr>
            <w:tcW w:w="7363" w:type="dxa"/>
            <w:vAlign w:val="top"/>
          </w:tcPr>
          <w:p w14:paraId="58866FE7" w14:textId="5F4515AC" w:rsidR="002D34F2" w:rsidRPr="004B1E7E" w:rsidRDefault="008715B9" w:rsidP="008715B9">
            <w:pPr>
              <w:rPr>
                <w:rFonts w:ascii="Arial" w:hAnsi="Arial" w:cs="Arial"/>
                <w:sz w:val="18"/>
                <w:szCs w:val="18"/>
              </w:rPr>
            </w:pPr>
            <w:r w:rsidRPr="004B1E7E">
              <w:rPr>
                <w:rFonts w:ascii="Arial" w:hAnsi="Arial" w:cs="Arial"/>
                <w:sz w:val="18"/>
                <w:szCs w:val="18"/>
              </w:rPr>
              <w:t xml:space="preserve">Contingent Valuation Method </w:t>
            </w:r>
          </w:p>
        </w:tc>
      </w:tr>
      <w:tr w:rsidR="002D34F2" w:rsidRPr="001854F8" w14:paraId="36A9CD72" w14:textId="77777777" w:rsidTr="004B1E7E">
        <w:trPr>
          <w:trHeight w:hRule="exact" w:val="284"/>
        </w:trPr>
        <w:tc>
          <w:tcPr>
            <w:tcW w:w="1701" w:type="dxa"/>
          </w:tcPr>
          <w:p w14:paraId="5DB40E6C" w14:textId="598F9D65" w:rsidR="002D34F2" w:rsidRPr="004B1E7E" w:rsidRDefault="00095047" w:rsidP="001854F8">
            <w:pPr>
              <w:pStyle w:val="BodyText"/>
              <w:rPr>
                <w:sz w:val="18"/>
                <w:szCs w:val="18"/>
              </w:rPr>
            </w:pPr>
            <w:r w:rsidRPr="004B1E7E">
              <w:rPr>
                <w:sz w:val="18"/>
                <w:szCs w:val="18"/>
                <w:lang w:val="en-ZA"/>
              </w:rPr>
              <w:t>DESTEA</w:t>
            </w:r>
          </w:p>
        </w:tc>
        <w:tc>
          <w:tcPr>
            <w:tcW w:w="7363" w:type="dxa"/>
            <w:vAlign w:val="top"/>
          </w:tcPr>
          <w:p w14:paraId="5F9A1F26" w14:textId="2A38A390" w:rsidR="002D34F2" w:rsidRPr="004B1E7E" w:rsidRDefault="006B68D7" w:rsidP="006B68D7">
            <w:pPr>
              <w:rPr>
                <w:rFonts w:ascii="Arial" w:hAnsi="Arial" w:cs="Arial"/>
                <w:sz w:val="18"/>
                <w:szCs w:val="18"/>
              </w:rPr>
            </w:pPr>
            <w:r w:rsidRPr="004B1E7E">
              <w:rPr>
                <w:rFonts w:ascii="Arial" w:hAnsi="Arial" w:cs="Arial"/>
                <w:sz w:val="18"/>
                <w:szCs w:val="18"/>
                <w:lang w:val="en-ZA"/>
              </w:rPr>
              <w:t xml:space="preserve">Free State Department of Economics, Small Business Development, Tourism and Environmental Affairs </w:t>
            </w:r>
          </w:p>
        </w:tc>
      </w:tr>
      <w:tr w:rsidR="002D34F2" w:rsidRPr="001854F8" w14:paraId="7F134141" w14:textId="77777777" w:rsidTr="004B1E7E">
        <w:trPr>
          <w:trHeight w:hRule="exact" w:val="284"/>
        </w:trPr>
        <w:tc>
          <w:tcPr>
            <w:tcW w:w="1701" w:type="dxa"/>
          </w:tcPr>
          <w:p w14:paraId="6A292994" w14:textId="0A6E55C5" w:rsidR="002D34F2" w:rsidRPr="004B1E7E" w:rsidRDefault="004F7AAB" w:rsidP="001854F8">
            <w:pPr>
              <w:pStyle w:val="BodyText"/>
              <w:rPr>
                <w:sz w:val="18"/>
                <w:szCs w:val="18"/>
              </w:rPr>
            </w:pPr>
            <w:r w:rsidRPr="004B1E7E">
              <w:rPr>
                <w:sz w:val="18"/>
                <w:szCs w:val="18"/>
              </w:rPr>
              <w:t>DAFF</w:t>
            </w:r>
          </w:p>
        </w:tc>
        <w:tc>
          <w:tcPr>
            <w:tcW w:w="7363" w:type="dxa"/>
            <w:vAlign w:val="top"/>
          </w:tcPr>
          <w:p w14:paraId="482CF080" w14:textId="7E878BDA" w:rsidR="002D34F2" w:rsidRPr="004B1E7E" w:rsidRDefault="004F242B" w:rsidP="004F242B">
            <w:pPr>
              <w:rPr>
                <w:rFonts w:ascii="Arial" w:hAnsi="Arial" w:cs="Arial"/>
                <w:sz w:val="18"/>
                <w:szCs w:val="18"/>
              </w:rPr>
            </w:pPr>
            <w:r w:rsidRPr="004B1E7E">
              <w:rPr>
                <w:rFonts w:ascii="Arial" w:hAnsi="Arial" w:cs="Arial"/>
                <w:sz w:val="18"/>
                <w:szCs w:val="18"/>
              </w:rPr>
              <w:t>Department of Agriculture, Forestry and Fisheries (former DFFE</w:t>
            </w:r>
            <w:r w:rsidR="005E69AF">
              <w:rPr>
                <w:rFonts w:ascii="Arial" w:hAnsi="Arial" w:cs="Arial"/>
                <w:sz w:val="18"/>
                <w:szCs w:val="18"/>
              </w:rPr>
              <w:t xml:space="preserve"> ex Agriculture</w:t>
            </w:r>
            <w:r w:rsidRPr="004B1E7E">
              <w:rPr>
                <w:rFonts w:ascii="Arial" w:hAnsi="Arial" w:cs="Arial"/>
                <w:sz w:val="18"/>
                <w:szCs w:val="18"/>
              </w:rPr>
              <w:t xml:space="preserve">) </w:t>
            </w:r>
          </w:p>
        </w:tc>
      </w:tr>
      <w:tr w:rsidR="002D34F2" w:rsidRPr="001854F8" w14:paraId="2C7E6B9E" w14:textId="77777777" w:rsidTr="004B1E7E">
        <w:trPr>
          <w:trHeight w:hRule="exact" w:val="284"/>
        </w:trPr>
        <w:tc>
          <w:tcPr>
            <w:tcW w:w="1701" w:type="dxa"/>
          </w:tcPr>
          <w:p w14:paraId="61C2754C" w14:textId="0635439A" w:rsidR="002D34F2" w:rsidRPr="004B1E7E" w:rsidRDefault="009C25F6" w:rsidP="001854F8">
            <w:pPr>
              <w:pStyle w:val="BodyText"/>
              <w:rPr>
                <w:sz w:val="18"/>
                <w:szCs w:val="18"/>
              </w:rPr>
            </w:pPr>
            <w:r w:rsidRPr="004B1E7E">
              <w:rPr>
                <w:sz w:val="18"/>
                <w:szCs w:val="18"/>
              </w:rPr>
              <w:t>DEA</w:t>
            </w:r>
          </w:p>
        </w:tc>
        <w:tc>
          <w:tcPr>
            <w:tcW w:w="7363" w:type="dxa"/>
            <w:vAlign w:val="top"/>
          </w:tcPr>
          <w:p w14:paraId="7C1AD586" w14:textId="500B6C7E" w:rsidR="002D34F2" w:rsidRPr="004B1E7E" w:rsidRDefault="00FC64FD" w:rsidP="00FC64FD">
            <w:pPr>
              <w:rPr>
                <w:rFonts w:ascii="Arial" w:hAnsi="Arial" w:cs="Arial"/>
                <w:sz w:val="18"/>
                <w:szCs w:val="18"/>
              </w:rPr>
            </w:pPr>
            <w:r w:rsidRPr="004B1E7E">
              <w:rPr>
                <w:rFonts w:ascii="Arial" w:hAnsi="Arial" w:cs="Arial"/>
                <w:sz w:val="18"/>
                <w:szCs w:val="18"/>
              </w:rPr>
              <w:t xml:space="preserve">Department of Environmental Affairs (former DFFE) </w:t>
            </w:r>
          </w:p>
        </w:tc>
      </w:tr>
      <w:tr w:rsidR="002D34F2" w:rsidRPr="001854F8" w14:paraId="3D27CFA8" w14:textId="77777777" w:rsidTr="004B1E7E">
        <w:trPr>
          <w:trHeight w:hRule="exact" w:val="284"/>
        </w:trPr>
        <w:tc>
          <w:tcPr>
            <w:tcW w:w="1701" w:type="dxa"/>
          </w:tcPr>
          <w:p w14:paraId="5ABA0104" w14:textId="61748028" w:rsidR="002D34F2" w:rsidRPr="004B1E7E" w:rsidRDefault="00E700D7" w:rsidP="001854F8">
            <w:pPr>
              <w:pStyle w:val="BodyText"/>
              <w:rPr>
                <w:sz w:val="18"/>
                <w:szCs w:val="18"/>
              </w:rPr>
            </w:pPr>
            <w:r w:rsidRPr="004B1E7E">
              <w:rPr>
                <w:sz w:val="18"/>
                <w:szCs w:val="18"/>
                <w:lang w:val="en-ZA"/>
              </w:rPr>
              <w:t>DEDEA</w:t>
            </w:r>
          </w:p>
        </w:tc>
        <w:tc>
          <w:tcPr>
            <w:tcW w:w="7363" w:type="dxa"/>
            <w:vAlign w:val="top"/>
          </w:tcPr>
          <w:p w14:paraId="2CC5D923" w14:textId="0112C03F" w:rsidR="002D34F2" w:rsidRPr="004B1E7E" w:rsidRDefault="00CD315E" w:rsidP="00CD315E">
            <w:pPr>
              <w:rPr>
                <w:rFonts w:ascii="Arial" w:hAnsi="Arial" w:cs="Arial"/>
                <w:sz w:val="18"/>
                <w:szCs w:val="18"/>
              </w:rPr>
            </w:pPr>
            <w:r w:rsidRPr="004B1E7E">
              <w:rPr>
                <w:rFonts w:ascii="Arial" w:hAnsi="Arial" w:cs="Arial"/>
                <w:sz w:val="18"/>
                <w:szCs w:val="18"/>
                <w:lang w:val="en-ZA"/>
              </w:rPr>
              <w:t xml:space="preserve">Eastern Cape Department of Economic Development, Environmental Affairs and Tourism </w:t>
            </w:r>
          </w:p>
        </w:tc>
      </w:tr>
      <w:tr w:rsidR="002D34F2" w:rsidRPr="001854F8" w14:paraId="7AEBC1AA" w14:textId="77777777" w:rsidTr="004B1E7E">
        <w:trPr>
          <w:trHeight w:hRule="exact" w:val="284"/>
        </w:trPr>
        <w:tc>
          <w:tcPr>
            <w:tcW w:w="1701" w:type="dxa"/>
          </w:tcPr>
          <w:p w14:paraId="09A4CE79" w14:textId="0118C154" w:rsidR="002D34F2" w:rsidRPr="004B1E7E" w:rsidRDefault="00FC6835" w:rsidP="001854F8">
            <w:pPr>
              <w:pStyle w:val="BodyText"/>
              <w:rPr>
                <w:sz w:val="18"/>
                <w:szCs w:val="18"/>
              </w:rPr>
            </w:pPr>
            <w:r w:rsidRPr="004B1E7E">
              <w:rPr>
                <w:sz w:val="18"/>
                <w:szCs w:val="18"/>
                <w:lang w:val="en-ZA"/>
              </w:rPr>
              <w:t>DENC</w:t>
            </w:r>
          </w:p>
        </w:tc>
        <w:tc>
          <w:tcPr>
            <w:tcW w:w="7363" w:type="dxa"/>
            <w:vAlign w:val="top"/>
          </w:tcPr>
          <w:p w14:paraId="1291B57A" w14:textId="333D6467" w:rsidR="002D34F2" w:rsidRPr="004B1E7E" w:rsidRDefault="00773AA4" w:rsidP="00773AA4">
            <w:pPr>
              <w:rPr>
                <w:rFonts w:ascii="Arial" w:hAnsi="Arial" w:cs="Arial"/>
                <w:sz w:val="18"/>
                <w:szCs w:val="18"/>
              </w:rPr>
            </w:pPr>
            <w:r w:rsidRPr="004B1E7E">
              <w:rPr>
                <w:rFonts w:ascii="Arial" w:hAnsi="Arial" w:cs="Arial"/>
                <w:sz w:val="18"/>
                <w:szCs w:val="18"/>
                <w:lang w:val="en-ZA"/>
              </w:rPr>
              <w:t xml:space="preserve">Northern Cape Department of Environment and Nature Conservation </w:t>
            </w:r>
          </w:p>
        </w:tc>
      </w:tr>
      <w:tr w:rsidR="002D34F2" w:rsidRPr="001854F8" w14:paraId="4C2ADB0F" w14:textId="77777777" w:rsidTr="004B1E7E">
        <w:trPr>
          <w:trHeight w:hRule="exact" w:val="284"/>
        </w:trPr>
        <w:tc>
          <w:tcPr>
            <w:tcW w:w="1701" w:type="dxa"/>
          </w:tcPr>
          <w:p w14:paraId="6ACE88A2" w14:textId="4BE75E14" w:rsidR="002D34F2" w:rsidRPr="004B1E7E" w:rsidRDefault="005D7D93" w:rsidP="001854F8">
            <w:pPr>
              <w:pStyle w:val="BodyText"/>
              <w:rPr>
                <w:sz w:val="18"/>
                <w:szCs w:val="18"/>
              </w:rPr>
            </w:pPr>
            <w:r w:rsidRPr="004B1E7E">
              <w:rPr>
                <w:sz w:val="18"/>
                <w:szCs w:val="18"/>
              </w:rPr>
              <w:t>DFFE</w:t>
            </w:r>
          </w:p>
        </w:tc>
        <w:tc>
          <w:tcPr>
            <w:tcW w:w="7363" w:type="dxa"/>
            <w:vAlign w:val="top"/>
          </w:tcPr>
          <w:p w14:paraId="105C9E20" w14:textId="756414A1" w:rsidR="002D34F2" w:rsidRPr="004B1E7E" w:rsidRDefault="00224FF7" w:rsidP="00224FF7">
            <w:pPr>
              <w:rPr>
                <w:rFonts w:ascii="Arial" w:hAnsi="Arial" w:cs="Arial"/>
                <w:sz w:val="18"/>
                <w:szCs w:val="18"/>
              </w:rPr>
            </w:pPr>
            <w:r w:rsidRPr="004B1E7E">
              <w:rPr>
                <w:rFonts w:ascii="Arial" w:hAnsi="Arial" w:cs="Arial"/>
                <w:sz w:val="18"/>
                <w:szCs w:val="18"/>
              </w:rPr>
              <w:t xml:space="preserve">Department of Forestry, Fisheries and the Environment </w:t>
            </w:r>
          </w:p>
        </w:tc>
      </w:tr>
      <w:tr w:rsidR="002D34F2" w:rsidRPr="001854F8" w14:paraId="4D76209D" w14:textId="77777777" w:rsidTr="004B1E7E">
        <w:trPr>
          <w:trHeight w:hRule="exact" w:val="284"/>
        </w:trPr>
        <w:tc>
          <w:tcPr>
            <w:tcW w:w="1701" w:type="dxa"/>
          </w:tcPr>
          <w:p w14:paraId="287C09F0" w14:textId="4F233FAE" w:rsidR="002D34F2" w:rsidRPr="004B1E7E" w:rsidRDefault="00F2391D" w:rsidP="001854F8">
            <w:pPr>
              <w:pStyle w:val="BodyText"/>
              <w:rPr>
                <w:sz w:val="18"/>
                <w:szCs w:val="18"/>
              </w:rPr>
            </w:pPr>
            <w:r w:rsidRPr="004B1E7E">
              <w:rPr>
                <w:sz w:val="18"/>
                <w:szCs w:val="18"/>
              </w:rPr>
              <w:t>DoT</w:t>
            </w:r>
          </w:p>
        </w:tc>
        <w:tc>
          <w:tcPr>
            <w:tcW w:w="7363" w:type="dxa"/>
            <w:vAlign w:val="top"/>
          </w:tcPr>
          <w:p w14:paraId="3996137B" w14:textId="00A90CAC" w:rsidR="002D34F2" w:rsidRPr="004B1E7E" w:rsidRDefault="005C3383" w:rsidP="005C3383">
            <w:pPr>
              <w:rPr>
                <w:rFonts w:ascii="Arial" w:hAnsi="Arial" w:cs="Arial"/>
                <w:sz w:val="18"/>
                <w:szCs w:val="18"/>
              </w:rPr>
            </w:pPr>
            <w:r w:rsidRPr="004B1E7E">
              <w:rPr>
                <w:rFonts w:ascii="Arial" w:hAnsi="Arial" w:cs="Arial"/>
                <w:sz w:val="18"/>
                <w:szCs w:val="18"/>
              </w:rPr>
              <w:t xml:space="preserve">Department of Transport </w:t>
            </w:r>
          </w:p>
        </w:tc>
      </w:tr>
      <w:tr w:rsidR="002D34F2" w:rsidRPr="001854F8" w14:paraId="6A4259AD" w14:textId="77777777" w:rsidTr="004B1E7E">
        <w:trPr>
          <w:trHeight w:hRule="exact" w:val="284"/>
        </w:trPr>
        <w:tc>
          <w:tcPr>
            <w:tcW w:w="1701" w:type="dxa"/>
          </w:tcPr>
          <w:p w14:paraId="11BC80DF" w14:textId="1AABF974" w:rsidR="002D34F2" w:rsidRPr="004B1E7E" w:rsidRDefault="009D0D0B" w:rsidP="001854F8">
            <w:pPr>
              <w:pStyle w:val="BodyText"/>
              <w:rPr>
                <w:sz w:val="18"/>
                <w:szCs w:val="18"/>
              </w:rPr>
            </w:pPr>
            <w:r w:rsidRPr="004B1E7E">
              <w:rPr>
                <w:sz w:val="18"/>
                <w:szCs w:val="18"/>
              </w:rPr>
              <w:t>DPA</w:t>
            </w:r>
          </w:p>
        </w:tc>
        <w:tc>
          <w:tcPr>
            <w:tcW w:w="7363" w:type="dxa"/>
            <w:vAlign w:val="top"/>
          </w:tcPr>
          <w:p w14:paraId="07A89AAB" w14:textId="3DD62F3D" w:rsidR="002D34F2" w:rsidRPr="004B1E7E" w:rsidRDefault="00FF4369" w:rsidP="00FF4369">
            <w:pPr>
              <w:rPr>
                <w:rFonts w:ascii="Arial" w:hAnsi="Arial" w:cs="Arial"/>
                <w:sz w:val="18"/>
                <w:szCs w:val="18"/>
              </w:rPr>
            </w:pPr>
            <w:r w:rsidRPr="004B1E7E">
              <w:rPr>
                <w:rFonts w:ascii="Arial" w:hAnsi="Arial" w:cs="Arial"/>
                <w:sz w:val="18"/>
                <w:szCs w:val="18"/>
              </w:rPr>
              <w:t xml:space="preserve">Department of Public Administration </w:t>
            </w:r>
          </w:p>
        </w:tc>
      </w:tr>
      <w:tr w:rsidR="002D34F2" w:rsidRPr="001854F8" w14:paraId="59DECA93" w14:textId="77777777" w:rsidTr="004B1E7E">
        <w:trPr>
          <w:trHeight w:hRule="exact" w:val="284"/>
        </w:trPr>
        <w:tc>
          <w:tcPr>
            <w:tcW w:w="1701" w:type="dxa"/>
          </w:tcPr>
          <w:p w14:paraId="2CD715EE" w14:textId="5D1F5300" w:rsidR="002D34F2" w:rsidRPr="004B1E7E" w:rsidRDefault="00115F9D" w:rsidP="001854F8">
            <w:pPr>
              <w:pStyle w:val="BodyText"/>
              <w:rPr>
                <w:sz w:val="18"/>
                <w:szCs w:val="18"/>
              </w:rPr>
            </w:pPr>
            <w:r w:rsidRPr="004B1E7E">
              <w:rPr>
                <w:sz w:val="18"/>
                <w:szCs w:val="18"/>
              </w:rPr>
              <w:t>EIA</w:t>
            </w:r>
          </w:p>
        </w:tc>
        <w:tc>
          <w:tcPr>
            <w:tcW w:w="7363" w:type="dxa"/>
            <w:vAlign w:val="top"/>
          </w:tcPr>
          <w:p w14:paraId="24ED24C5" w14:textId="77777777" w:rsidR="006037C1" w:rsidRPr="004B1E7E" w:rsidRDefault="006037C1" w:rsidP="006037C1">
            <w:pPr>
              <w:rPr>
                <w:rFonts w:ascii="Arial" w:hAnsi="Arial" w:cs="Arial"/>
                <w:sz w:val="18"/>
                <w:szCs w:val="18"/>
              </w:rPr>
            </w:pPr>
            <w:r w:rsidRPr="004B1E7E">
              <w:rPr>
                <w:rFonts w:ascii="Arial" w:hAnsi="Arial" w:cs="Arial"/>
                <w:sz w:val="18"/>
                <w:szCs w:val="18"/>
              </w:rPr>
              <w:t xml:space="preserve">Environmental Impact Assessment </w:t>
            </w:r>
          </w:p>
          <w:p w14:paraId="5271267F" w14:textId="0F936743" w:rsidR="002D34F2" w:rsidRPr="004B1E7E" w:rsidRDefault="002D34F2" w:rsidP="006037C1">
            <w:pPr>
              <w:pStyle w:val="BodyText"/>
              <w:tabs>
                <w:tab w:val="left" w:pos="1530"/>
              </w:tabs>
              <w:rPr>
                <w:sz w:val="18"/>
                <w:szCs w:val="18"/>
              </w:rPr>
            </w:pPr>
          </w:p>
        </w:tc>
      </w:tr>
      <w:tr w:rsidR="002D34F2" w:rsidRPr="001854F8" w14:paraId="157B3F3D" w14:textId="77777777" w:rsidTr="004B1E7E">
        <w:trPr>
          <w:trHeight w:hRule="exact" w:val="284"/>
        </w:trPr>
        <w:tc>
          <w:tcPr>
            <w:tcW w:w="1701" w:type="dxa"/>
          </w:tcPr>
          <w:p w14:paraId="66E33377" w14:textId="55BF0239" w:rsidR="002D34F2" w:rsidRPr="004B1E7E" w:rsidRDefault="00A42171" w:rsidP="001854F8">
            <w:pPr>
              <w:pStyle w:val="BodyText"/>
              <w:rPr>
                <w:sz w:val="18"/>
                <w:szCs w:val="18"/>
              </w:rPr>
            </w:pPr>
            <w:r w:rsidRPr="004B1E7E">
              <w:rPr>
                <w:sz w:val="18"/>
                <w:szCs w:val="18"/>
                <w:lang w:val="en-ZA"/>
              </w:rPr>
              <w:t>EKZNW</w:t>
            </w:r>
          </w:p>
        </w:tc>
        <w:tc>
          <w:tcPr>
            <w:tcW w:w="7363" w:type="dxa"/>
            <w:vAlign w:val="top"/>
          </w:tcPr>
          <w:p w14:paraId="353A37CB" w14:textId="0FB94C0C" w:rsidR="002D34F2" w:rsidRPr="004B1E7E" w:rsidRDefault="000F7526" w:rsidP="000F7526">
            <w:pPr>
              <w:rPr>
                <w:rFonts w:ascii="Arial" w:hAnsi="Arial" w:cs="Arial"/>
                <w:sz w:val="18"/>
                <w:szCs w:val="18"/>
              </w:rPr>
            </w:pPr>
            <w:r w:rsidRPr="004B1E7E">
              <w:rPr>
                <w:rFonts w:ascii="Arial" w:hAnsi="Arial" w:cs="Arial"/>
                <w:sz w:val="18"/>
                <w:szCs w:val="18"/>
                <w:lang w:val="en-ZA"/>
              </w:rPr>
              <w:t xml:space="preserve">Ezemvelo KwaZulu-Natal Wildlife </w:t>
            </w:r>
          </w:p>
        </w:tc>
      </w:tr>
      <w:tr w:rsidR="002D34F2" w:rsidRPr="001854F8" w14:paraId="28A8338F" w14:textId="77777777" w:rsidTr="004B1E7E">
        <w:trPr>
          <w:trHeight w:hRule="exact" w:val="284"/>
        </w:trPr>
        <w:tc>
          <w:tcPr>
            <w:tcW w:w="1701" w:type="dxa"/>
          </w:tcPr>
          <w:p w14:paraId="144F0AE2" w14:textId="788384B5" w:rsidR="002D34F2" w:rsidRPr="004B1E7E" w:rsidRDefault="00F63369" w:rsidP="001854F8">
            <w:pPr>
              <w:pStyle w:val="BodyText"/>
              <w:rPr>
                <w:sz w:val="18"/>
                <w:szCs w:val="18"/>
              </w:rPr>
            </w:pPr>
            <w:r w:rsidRPr="004B1E7E">
              <w:rPr>
                <w:sz w:val="18"/>
                <w:szCs w:val="18"/>
              </w:rPr>
              <w:t>EPBC</w:t>
            </w:r>
          </w:p>
        </w:tc>
        <w:tc>
          <w:tcPr>
            <w:tcW w:w="7363" w:type="dxa"/>
            <w:vAlign w:val="top"/>
          </w:tcPr>
          <w:p w14:paraId="37613E85" w14:textId="1EFB9E2E" w:rsidR="002D34F2" w:rsidRPr="004B1E7E" w:rsidRDefault="002E0BD2" w:rsidP="002E0BD2">
            <w:pPr>
              <w:tabs>
                <w:tab w:val="left" w:pos="5350"/>
              </w:tabs>
              <w:rPr>
                <w:rFonts w:ascii="Arial" w:hAnsi="Arial" w:cs="Arial"/>
                <w:sz w:val="18"/>
                <w:szCs w:val="18"/>
              </w:rPr>
            </w:pPr>
            <w:r w:rsidRPr="004B1E7E">
              <w:rPr>
                <w:rFonts w:ascii="Arial" w:hAnsi="Arial" w:cs="Arial"/>
                <w:sz w:val="18"/>
                <w:szCs w:val="18"/>
              </w:rPr>
              <w:t xml:space="preserve">Australian Environment Protection and Biodiversity Conservation Act </w:t>
            </w:r>
          </w:p>
        </w:tc>
      </w:tr>
      <w:tr w:rsidR="002D34F2" w:rsidRPr="001854F8" w14:paraId="7BF2E83F" w14:textId="77777777" w:rsidTr="004B1E7E">
        <w:trPr>
          <w:trHeight w:hRule="exact" w:val="284"/>
        </w:trPr>
        <w:tc>
          <w:tcPr>
            <w:tcW w:w="1701" w:type="dxa"/>
          </w:tcPr>
          <w:p w14:paraId="56AACA66" w14:textId="2202A0BF" w:rsidR="002D34F2" w:rsidRPr="004B1E7E" w:rsidRDefault="00300FBE" w:rsidP="001854F8">
            <w:pPr>
              <w:pStyle w:val="BodyText"/>
              <w:rPr>
                <w:sz w:val="18"/>
                <w:szCs w:val="18"/>
              </w:rPr>
            </w:pPr>
            <w:r w:rsidRPr="004B1E7E">
              <w:rPr>
                <w:sz w:val="18"/>
                <w:szCs w:val="18"/>
                <w:lang w:val="en-ZA"/>
              </w:rPr>
              <w:t>GDARD</w:t>
            </w:r>
          </w:p>
        </w:tc>
        <w:tc>
          <w:tcPr>
            <w:tcW w:w="7363" w:type="dxa"/>
            <w:vAlign w:val="top"/>
          </w:tcPr>
          <w:p w14:paraId="71238D5C" w14:textId="4F27825F" w:rsidR="002D34F2" w:rsidRPr="004B1E7E" w:rsidRDefault="008B5CE9" w:rsidP="008B5CE9">
            <w:pPr>
              <w:rPr>
                <w:rFonts w:ascii="Arial" w:hAnsi="Arial" w:cs="Arial"/>
                <w:sz w:val="18"/>
                <w:szCs w:val="18"/>
              </w:rPr>
            </w:pPr>
            <w:r w:rsidRPr="004B1E7E">
              <w:rPr>
                <w:rFonts w:ascii="Arial" w:hAnsi="Arial" w:cs="Arial"/>
                <w:sz w:val="18"/>
                <w:szCs w:val="18"/>
                <w:lang w:val="en-ZA"/>
              </w:rPr>
              <w:t xml:space="preserve">Gauteng Department of Agriculture and Rural Development </w:t>
            </w:r>
          </w:p>
        </w:tc>
      </w:tr>
      <w:tr w:rsidR="002D34F2" w:rsidRPr="001854F8" w14:paraId="79540BA2" w14:textId="77777777" w:rsidTr="004B1E7E">
        <w:trPr>
          <w:trHeight w:hRule="exact" w:val="284"/>
        </w:trPr>
        <w:tc>
          <w:tcPr>
            <w:tcW w:w="1701" w:type="dxa"/>
          </w:tcPr>
          <w:p w14:paraId="2B344B1D" w14:textId="0E071495" w:rsidR="002D34F2" w:rsidRPr="004B1E7E" w:rsidRDefault="000A7123" w:rsidP="001854F8">
            <w:pPr>
              <w:pStyle w:val="BodyText"/>
              <w:rPr>
                <w:sz w:val="18"/>
                <w:szCs w:val="18"/>
              </w:rPr>
            </w:pPr>
            <w:r w:rsidRPr="004B1E7E">
              <w:rPr>
                <w:sz w:val="18"/>
                <w:szCs w:val="18"/>
              </w:rPr>
              <w:t>HR</w:t>
            </w:r>
          </w:p>
        </w:tc>
        <w:tc>
          <w:tcPr>
            <w:tcW w:w="7363" w:type="dxa"/>
            <w:vAlign w:val="top"/>
          </w:tcPr>
          <w:p w14:paraId="10326B88" w14:textId="60D29514" w:rsidR="002D34F2" w:rsidRPr="004B1E7E" w:rsidRDefault="000667F1" w:rsidP="000667F1">
            <w:pPr>
              <w:rPr>
                <w:rFonts w:ascii="Arial" w:hAnsi="Arial" w:cs="Arial"/>
                <w:sz w:val="18"/>
                <w:szCs w:val="18"/>
              </w:rPr>
            </w:pPr>
            <w:r w:rsidRPr="004B1E7E">
              <w:rPr>
                <w:rFonts w:ascii="Arial" w:hAnsi="Arial" w:cs="Arial"/>
                <w:sz w:val="18"/>
                <w:szCs w:val="18"/>
              </w:rPr>
              <w:t xml:space="preserve">Human Resources </w:t>
            </w:r>
          </w:p>
        </w:tc>
      </w:tr>
      <w:tr w:rsidR="002D34F2" w:rsidRPr="001854F8" w14:paraId="26B7EA64" w14:textId="77777777" w:rsidTr="004B1E7E">
        <w:trPr>
          <w:trHeight w:hRule="exact" w:val="284"/>
        </w:trPr>
        <w:tc>
          <w:tcPr>
            <w:tcW w:w="1701" w:type="dxa"/>
          </w:tcPr>
          <w:p w14:paraId="7C21BF29" w14:textId="6CB51BA0" w:rsidR="002D34F2" w:rsidRPr="004B1E7E" w:rsidRDefault="00D76FDB" w:rsidP="001854F8">
            <w:pPr>
              <w:pStyle w:val="BodyText"/>
              <w:rPr>
                <w:sz w:val="18"/>
                <w:szCs w:val="18"/>
              </w:rPr>
            </w:pPr>
            <w:r w:rsidRPr="004B1E7E">
              <w:rPr>
                <w:sz w:val="18"/>
                <w:szCs w:val="18"/>
              </w:rPr>
              <w:t>IT</w:t>
            </w:r>
          </w:p>
        </w:tc>
        <w:tc>
          <w:tcPr>
            <w:tcW w:w="7363" w:type="dxa"/>
            <w:vAlign w:val="top"/>
          </w:tcPr>
          <w:p w14:paraId="35AF7212" w14:textId="3964B9EF" w:rsidR="002D34F2" w:rsidRPr="004B1E7E" w:rsidRDefault="00BA2143" w:rsidP="00BA2143">
            <w:pPr>
              <w:rPr>
                <w:rFonts w:ascii="Arial" w:hAnsi="Arial" w:cs="Arial"/>
                <w:sz w:val="18"/>
                <w:szCs w:val="18"/>
              </w:rPr>
            </w:pPr>
            <w:r w:rsidRPr="004B1E7E">
              <w:rPr>
                <w:rFonts w:ascii="Arial" w:hAnsi="Arial" w:cs="Arial"/>
                <w:sz w:val="18"/>
                <w:szCs w:val="18"/>
              </w:rPr>
              <w:t>Information Technology</w:t>
            </w:r>
          </w:p>
        </w:tc>
      </w:tr>
      <w:tr w:rsidR="002D34F2" w:rsidRPr="001854F8" w14:paraId="13E4E1AB" w14:textId="77777777" w:rsidTr="004B1E7E">
        <w:trPr>
          <w:trHeight w:hRule="exact" w:val="284"/>
        </w:trPr>
        <w:tc>
          <w:tcPr>
            <w:tcW w:w="1701" w:type="dxa"/>
          </w:tcPr>
          <w:p w14:paraId="5E81B320" w14:textId="7028C0D4" w:rsidR="002D34F2" w:rsidRPr="004B1E7E" w:rsidRDefault="008678FE" w:rsidP="001854F8">
            <w:pPr>
              <w:pStyle w:val="BodyText"/>
              <w:rPr>
                <w:sz w:val="18"/>
                <w:szCs w:val="18"/>
              </w:rPr>
            </w:pPr>
            <w:r w:rsidRPr="004B1E7E">
              <w:rPr>
                <w:sz w:val="18"/>
                <w:szCs w:val="18"/>
                <w:lang w:val="en-ZA"/>
              </w:rPr>
              <w:t>LEDET</w:t>
            </w:r>
          </w:p>
        </w:tc>
        <w:tc>
          <w:tcPr>
            <w:tcW w:w="7363" w:type="dxa"/>
            <w:vAlign w:val="top"/>
          </w:tcPr>
          <w:p w14:paraId="30C1BFB9" w14:textId="242B2BE2" w:rsidR="002D34F2" w:rsidRPr="004B1E7E" w:rsidRDefault="00A54D42" w:rsidP="00A54D42">
            <w:pPr>
              <w:rPr>
                <w:rFonts w:ascii="Arial" w:hAnsi="Arial" w:cs="Arial"/>
                <w:sz w:val="18"/>
                <w:szCs w:val="18"/>
              </w:rPr>
            </w:pPr>
            <w:r w:rsidRPr="004B1E7E">
              <w:rPr>
                <w:rFonts w:ascii="Arial" w:hAnsi="Arial" w:cs="Arial"/>
                <w:sz w:val="18"/>
                <w:szCs w:val="18"/>
                <w:lang w:val="en-ZA"/>
              </w:rPr>
              <w:t xml:space="preserve">Limpopo Department of Economic Development, Environment and Tourism </w:t>
            </w:r>
          </w:p>
        </w:tc>
      </w:tr>
      <w:tr w:rsidR="002D34F2" w:rsidRPr="001854F8" w14:paraId="488577A3" w14:textId="77777777" w:rsidTr="004B1E7E">
        <w:trPr>
          <w:trHeight w:hRule="exact" w:val="284"/>
        </w:trPr>
        <w:tc>
          <w:tcPr>
            <w:tcW w:w="1701" w:type="dxa"/>
          </w:tcPr>
          <w:p w14:paraId="74AE32AE" w14:textId="2E618238" w:rsidR="002D34F2" w:rsidRPr="004B1E7E" w:rsidRDefault="00350674" w:rsidP="001854F8">
            <w:pPr>
              <w:pStyle w:val="BodyText"/>
              <w:rPr>
                <w:sz w:val="18"/>
                <w:szCs w:val="18"/>
              </w:rPr>
            </w:pPr>
            <w:r w:rsidRPr="004B1E7E">
              <w:rPr>
                <w:sz w:val="18"/>
                <w:szCs w:val="18"/>
              </w:rPr>
              <w:t>MLRA</w:t>
            </w:r>
          </w:p>
        </w:tc>
        <w:tc>
          <w:tcPr>
            <w:tcW w:w="7363" w:type="dxa"/>
            <w:vAlign w:val="top"/>
          </w:tcPr>
          <w:p w14:paraId="59DB2E20" w14:textId="063EE1F1" w:rsidR="002D34F2" w:rsidRPr="004B1E7E" w:rsidRDefault="00D95226" w:rsidP="00D95226">
            <w:pPr>
              <w:rPr>
                <w:rFonts w:ascii="Arial" w:hAnsi="Arial" w:cs="Arial"/>
                <w:sz w:val="18"/>
                <w:szCs w:val="18"/>
              </w:rPr>
            </w:pPr>
            <w:r w:rsidRPr="004B1E7E">
              <w:rPr>
                <w:rFonts w:ascii="Arial" w:hAnsi="Arial" w:cs="Arial"/>
                <w:sz w:val="18"/>
                <w:szCs w:val="18"/>
              </w:rPr>
              <w:t xml:space="preserve">Marine Living Resources Act </w:t>
            </w:r>
          </w:p>
        </w:tc>
      </w:tr>
      <w:tr w:rsidR="002D34F2" w:rsidRPr="001854F8" w14:paraId="28114AFF" w14:textId="77777777" w:rsidTr="004B1E7E">
        <w:trPr>
          <w:trHeight w:hRule="exact" w:val="284"/>
        </w:trPr>
        <w:tc>
          <w:tcPr>
            <w:tcW w:w="1701" w:type="dxa"/>
          </w:tcPr>
          <w:p w14:paraId="3F67C92A" w14:textId="583E5B52" w:rsidR="002D34F2" w:rsidRPr="004B1E7E" w:rsidRDefault="00576CCA" w:rsidP="001854F8">
            <w:pPr>
              <w:pStyle w:val="BodyText"/>
              <w:rPr>
                <w:sz w:val="18"/>
                <w:szCs w:val="18"/>
              </w:rPr>
            </w:pPr>
            <w:r w:rsidRPr="004B1E7E">
              <w:rPr>
                <w:sz w:val="18"/>
                <w:szCs w:val="18"/>
                <w:lang w:val="en-ZA"/>
              </w:rPr>
              <w:t>MTPA</w:t>
            </w:r>
          </w:p>
        </w:tc>
        <w:tc>
          <w:tcPr>
            <w:tcW w:w="7363" w:type="dxa"/>
            <w:vAlign w:val="top"/>
          </w:tcPr>
          <w:p w14:paraId="0B9D2E99" w14:textId="39C816E6" w:rsidR="002D34F2" w:rsidRPr="004B1E7E" w:rsidRDefault="003C0474" w:rsidP="003C0474">
            <w:pPr>
              <w:rPr>
                <w:rFonts w:ascii="Arial" w:hAnsi="Arial" w:cs="Arial"/>
                <w:sz w:val="18"/>
                <w:szCs w:val="18"/>
              </w:rPr>
            </w:pPr>
            <w:r w:rsidRPr="004B1E7E">
              <w:rPr>
                <w:rFonts w:ascii="Arial" w:hAnsi="Arial" w:cs="Arial"/>
                <w:sz w:val="18"/>
                <w:szCs w:val="18"/>
                <w:lang w:val="en-ZA"/>
              </w:rPr>
              <w:t xml:space="preserve">Mpumalanga Tourism and Parks Agency </w:t>
            </w:r>
          </w:p>
        </w:tc>
      </w:tr>
      <w:tr w:rsidR="00576CCA" w:rsidRPr="001854F8" w14:paraId="78FEA5CE" w14:textId="77777777" w:rsidTr="004B1E7E">
        <w:trPr>
          <w:trHeight w:hRule="exact" w:val="284"/>
        </w:trPr>
        <w:tc>
          <w:tcPr>
            <w:tcW w:w="1701" w:type="dxa"/>
          </w:tcPr>
          <w:p w14:paraId="7C60E6AA" w14:textId="79CD65C9" w:rsidR="00576CCA" w:rsidRPr="004B1E7E" w:rsidRDefault="007515B8" w:rsidP="001854F8">
            <w:pPr>
              <w:pStyle w:val="BodyText"/>
              <w:rPr>
                <w:sz w:val="18"/>
                <w:szCs w:val="18"/>
                <w:lang w:val="en-ZA"/>
              </w:rPr>
            </w:pPr>
            <w:r w:rsidRPr="004B1E7E">
              <w:rPr>
                <w:sz w:val="18"/>
                <w:szCs w:val="18"/>
              </w:rPr>
              <w:t>MPI</w:t>
            </w:r>
          </w:p>
        </w:tc>
        <w:tc>
          <w:tcPr>
            <w:tcW w:w="7363" w:type="dxa"/>
            <w:vAlign w:val="top"/>
          </w:tcPr>
          <w:p w14:paraId="2C7E0125" w14:textId="2C3932BC" w:rsidR="00576CCA" w:rsidRPr="004B1E7E" w:rsidRDefault="00167203" w:rsidP="00167203">
            <w:pPr>
              <w:tabs>
                <w:tab w:val="left" w:pos="5350"/>
              </w:tabs>
              <w:rPr>
                <w:rFonts w:ascii="Arial" w:hAnsi="Arial" w:cs="Arial"/>
                <w:sz w:val="18"/>
                <w:szCs w:val="18"/>
              </w:rPr>
            </w:pPr>
            <w:r w:rsidRPr="004B1E7E">
              <w:rPr>
                <w:rFonts w:ascii="Arial" w:hAnsi="Arial" w:cs="Arial"/>
                <w:sz w:val="18"/>
                <w:szCs w:val="18"/>
              </w:rPr>
              <w:t xml:space="preserve">New Zealand Ministry of Primary Industries </w:t>
            </w:r>
          </w:p>
        </w:tc>
      </w:tr>
      <w:tr w:rsidR="00576CCA" w:rsidRPr="001854F8" w14:paraId="5BA0019E" w14:textId="77777777" w:rsidTr="004B1E7E">
        <w:trPr>
          <w:trHeight w:hRule="exact" w:val="284"/>
        </w:trPr>
        <w:tc>
          <w:tcPr>
            <w:tcW w:w="1701" w:type="dxa"/>
          </w:tcPr>
          <w:p w14:paraId="5705F9B2" w14:textId="56D9857E" w:rsidR="00576CCA" w:rsidRPr="004B1E7E" w:rsidRDefault="004074B3" w:rsidP="001854F8">
            <w:pPr>
              <w:pStyle w:val="BodyText"/>
              <w:rPr>
                <w:sz w:val="18"/>
                <w:szCs w:val="18"/>
                <w:lang w:val="en-ZA"/>
              </w:rPr>
            </w:pPr>
            <w:r w:rsidRPr="004B1E7E">
              <w:rPr>
                <w:sz w:val="18"/>
                <w:szCs w:val="18"/>
              </w:rPr>
              <w:t>NEMBA</w:t>
            </w:r>
          </w:p>
        </w:tc>
        <w:tc>
          <w:tcPr>
            <w:tcW w:w="7363" w:type="dxa"/>
            <w:vAlign w:val="top"/>
          </w:tcPr>
          <w:p w14:paraId="1B49070B" w14:textId="1152A709" w:rsidR="00576CCA" w:rsidRPr="004B1E7E" w:rsidRDefault="005B4A91" w:rsidP="005B4A91">
            <w:pPr>
              <w:rPr>
                <w:rFonts w:ascii="Arial" w:hAnsi="Arial" w:cs="Arial"/>
                <w:sz w:val="18"/>
                <w:szCs w:val="18"/>
              </w:rPr>
            </w:pPr>
            <w:r w:rsidRPr="004B1E7E">
              <w:rPr>
                <w:rFonts w:ascii="Arial" w:hAnsi="Arial" w:cs="Arial"/>
                <w:sz w:val="18"/>
                <w:szCs w:val="18"/>
              </w:rPr>
              <w:t xml:space="preserve">National Environment Management: Biodiversity Act </w:t>
            </w:r>
          </w:p>
        </w:tc>
      </w:tr>
      <w:tr w:rsidR="00576CCA" w:rsidRPr="001854F8" w14:paraId="22CCFFA2" w14:textId="77777777" w:rsidTr="004B1E7E">
        <w:trPr>
          <w:trHeight w:hRule="exact" w:val="284"/>
        </w:trPr>
        <w:tc>
          <w:tcPr>
            <w:tcW w:w="1701" w:type="dxa"/>
          </w:tcPr>
          <w:p w14:paraId="097C18D8" w14:textId="074B3853" w:rsidR="00576CCA" w:rsidRPr="004B1E7E" w:rsidRDefault="008C195C" w:rsidP="001854F8">
            <w:pPr>
              <w:pStyle w:val="BodyText"/>
              <w:rPr>
                <w:sz w:val="18"/>
                <w:szCs w:val="18"/>
                <w:lang w:val="en-ZA"/>
              </w:rPr>
            </w:pPr>
            <w:r w:rsidRPr="004B1E7E">
              <w:rPr>
                <w:sz w:val="18"/>
                <w:szCs w:val="18"/>
              </w:rPr>
              <w:t>NEMWA</w:t>
            </w:r>
          </w:p>
        </w:tc>
        <w:tc>
          <w:tcPr>
            <w:tcW w:w="7363" w:type="dxa"/>
            <w:vAlign w:val="top"/>
          </w:tcPr>
          <w:p w14:paraId="78D1C705" w14:textId="58B54339" w:rsidR="00576CCA" w:rsidRPr="004B1E7E" w:rsidRDefault="00AC4605" w:rsidP="00AC4605">
            <w:pPr>
              <w:rPr>
                <w:rFonts w:ascii="Arial" w:hAnsi="Arial" w:cs="Arial"/>
                <w:sz w:val="18"/>
                <w:szCs w:val="18"/>
              </w:rPr>
            </w:pPr>
            <w:r w:rsidRPr="004B1E7E">
              <w:rPr>
                <w:rFonts w:ascii="Arial" w:hAnsi="Arial" w:cs="Arial"/>
                <w:sz w:val="18"/>
                <w:szCs w:val="18"/>
              </w:rPr>
              <w:t xml:space="preserve">National Environmental Management: Waste Act </w:t>
            </w:r>
          </w:p>
        </w:tc>
      </w:tr>
      <w:tr w:rsidR="00576CCA" w:rsidRPr="001854F8" w14:paraId="7595F238" w14:textId="77777777" w:rsidTr="004B1E7E">
        <w:trPr>
          <w:trHeight w:hRule="exact" w:val="284"/>
        </w:trPr>
        <w:tc>
          <w:tcPr>
            <w:tcW w:w="1701" w:type="dxa"/>
          </w:tcPr>
          <w:p w14:paraId="7EE025C4" w14:textId="7F36030C" w:rsidR="00576CCA" w:rsidRPr="004B1E7E" w:rsidRDefault="008512F2" w:rsidP="001854F8">
            <w:pPr>
              <w:pStyle w:val="BodyText"/>
              <w:rPr>
                <w:sz w:val="18"/>
                <w:szCs w:val="18"/>
                <w:lang w:val="en-ZA"/>
              </w:rPr>
            </w:pPr>
            <w:r w:rsidRPr="004B1E7E">
              <w:rPr>
                <w:sz w:val="18"/>
                <w:szCs w:val="18"/>
              </w:rPr>
              <w:t>PDG</w:t>
            </w:r>
          </w:p>
        </w:tc>
        <w:tc>
          <w:tcPr>
            <w:tcW w:w="7363" w:type="dxa"/>
            <w:vAlign w:val="top"/>
          </w:tcPr>
          <w:p w14:paraId="7815C0E4" w14:textId="5448734F" w:rsidR="00576CCA" w:rsidRPr="004B1E7E" w:rsidRDefault="00A664E9" w:rsidP="00A664E9">
            <w:pPr>
              <w:rPr>
                <w:rFonts w:ascii="Arial" w:hAnsi="Arial" w:cs="Arial"/>
                <w:sz w:val="18"/>
                <w:szCs w:val="18"/>
              </w:rPr>
            </w:pPr>
            <w:r w:rsidRPr="004B1E7E">
              <w:rPr>
                <w:rFonts w:ascii="Arial" w:hAnsi="Arial" w:cs="Arial"/>
                <w:sz w:val="18"/>
                <w:szCs w:val="18"/>
              </w:rPr>
              <w:t xml:space="preserve">Palmer Development Group </w:t>
            </w:r>
          </w:p>
        </w:tc>
      </w:tr>
      <w:tr w:rsidR="00576CCA" w:rsidRPr="001854F8" w14:paraId="4976AA00" w14:textId="77777777" w:rsidTr="004B1E7E">
        <w:trPr>
          <w:trHeight w:hRule="exact" w:val="284"/>
        </w:trPr>
        <w:tc>
          <w:tcPr>
            <w:tcW w:w="1701" w:type="dxa"/>
          </w:tcPr>
          <w:p w14:paraId="04386FFD" w14:textId="69EE8823" w:rsidR="00576CCA" w:rsidRPr="004B1E7E" w:rsidRDefault="00FC60B9" w:rsidP="001854F8">
            <w:pPr>
              <w:pStyle w:val="BodyText"/>
              <w:rPr>
                <w:sz w:val="18"/>
                <w:szCs w:val="18"/>
                <w:lang w:val="en-ZA"/>
              </w:rPr>
            </w:pPr>
            <w:r w:rsidRPr="004B1E7E">
              <w:rPr>
                <w:sz w:val="18"/>
                <w:szCs w:val="18"/>
              </w:rPr>
              <w:t>PFMA</w:t>
            </w:r>
          </w:p>
        </w:tc>
        <w:tc>
          <w:tcPr>
            <w:tcW w:w="7363" w:type="dxa"/>
            <w:vAlign w:val="top"/>
          </w:tcPr>
          <w:p w14:paraId="042CE5C0" w14:textId="78EE905E" w:rsidR="00576CCA" w:rsidRPr="004B1E7E" w:rsidRDefault="00355481" w:rsidP="00355481">
            <w:pPr>
              <w:rPr>
                <w:rFonts w:ascii="Arial" w:hAnsi="Arial" w:cs="Arial"/>
                <w:sz w:val="18"/>
                <w:szCs w:val="18"/>
              </w:rPr>
            </w:pPr>
            <w:r w:rsidRPr="004B1E7E">
              <w:rPr>
                <w:rFonts w:ascii="Arial" w:hAnsi="Arial" w:cs="Arial"/>
                <w:sz w:val="18"/>
                <w:szCs w:val="18"/>
              </w:rPr>
              <w:t xml:space="preserve">Public Finance Management Act </w:t>
            </w:r>
          </w:p>
        </w:tc>
      </w:tr>
      <w:tr w:rsidR="00576CCA" w:rsidRPr="001854F8" w14:paraId="19763BEE" w14:textId="77777777" w:rsidTr="004B1E7E">
        <w:trPr>
          <w:trHeight w:hRule="exact" w:val="284"/>
        </w:trPr>
        <w:tc>
          <w:tcPr>
            <w:tcW w:w="1701" w:type="dxa"/>
          </w:tcPr>
          <w:p w14:paraId="7664EE1F" w14:textId="40F9FE73" w:rsidR="00576CCA" w:rsidRPr="004B1E7E" w:rsidRDefault="005234AB" w:rsidP="001854F8">
            <w:pPr>
              <w:pStyle w:val="BodyText"/>
              <w:rPr>
                <w:sz w:val="18"/>
                <w:szCs w:val="18"/>
                <w:lang w:val="en-ZA"/>
              </w:rPr>
            </w:pPr>
            <w:r w:rsidRPr="004B1E7E">
              <w:rPr>
                <w:sz w:val="18"/>
                <w:szCs w:val="18"/>
              </w:rPr>
              <w:t>PPP</w:t>
            </w:r>
          </w:p>
        </w:tc>
        <w:tc>
          <w:tcPr>
            <w:tcW w:w="7363" w:type="dxa"/>
            <w:vAlign w:val="top"/>
          </w:tcPr>
          <w:p w14:paraId="19101805" w14:textId="43AC9801" w:rsidR="00576CCA" w:rsidRPr="004B1E7E" w:rsidRDefault="005D59C9" w:rsidP="005D59C9">
            <w:pPr>
              <w:rPr>
                <w:rFonts w:ascii="Arial" w:hAnsi="Arial" w:cs="Arial"/>
                <w:sz w:val="18"/>
                <w:szCs w:val="18"/>
              </w:rPr>
            </w:pPr>
            <w:r w:rsidRPr="004B1E7E">
              <w:rPr>
                <w:rFonts w:ascii="Arial" w:hAnsi="Arial" w:cs="Arial"/>
                <w:sz w:val="18"/>
                <w:szCs w:val="18"/>
              </w:rPr>
              <w:t xml:space="preserve">Purchasing Power Parity </w:t>
            </w:r>
          </w:p>
        </w:tc>
      </w:tr>
      <w:tr w:rsidR="00576CCA" w:rsidRPr="001854F8" w14:paraId="783AE268" w14:textId="77777777" w:rsidTr="004B1E7E">
        <w:trPr>
          <w:trHeight w:hRule="exact" w:val="284"/>
        </w:trPr>
        <w:tc>
          <w:tcPr>
            <w:tcW w:w="1701" w:type="dxa"/>
          </w:tcPr>
          <w:p w14:paraId="364D3914" w14:textId="57DD3BCD" w:rsidR="00576CCA" w:rsidRPr="004B1E7E" w:rsidRDefault="00BC21B5" w:rsidP="001854F8">
            <w:pPr>
              <w:pStyle w:val="BodyText"/>
              <w:rPr>
                <w:sz w:val="18"/>
                <w:szCs w:val="18"/>
                <w:lang w:val="en-ZA"/>
              </w:rPr>
            </w:pPr>
            <w:r w:rsidRPr="004B1E7E">
              <w:rPr>
                <w:sz w:val="18"/>
                <w:szCs w:val="18"/>
                <w:lang w:val="en-ZA"/>
              </w:rPr>
              <w:t>READ</w:t>
            </w:r>
          </w:p>
        </w:tc>
        <w:tc>
          <w:tcPr>
            <w:tcW w:w="7363" w:type="dxa"/>
            <w:vAlign w:val="top"/>
          </w:tcPr>
          <w:p w14:paraId="4B9397FF" w14:textId="5C63C9EC" w:rsidR="00576CCA" w:rsidRPr="004B1E7E" w:rsidRDefault="008B3EDD" w:rsidP="008B3EDD">
            <w:pPr>
              <w:rPr>
                <w:rFonts w:ascii="Arial" w:hAnsi="Arial" w:cs="Arial"/>
                <w:sz w:val="18"/>
                <w:szCs w:val="18"/>
              </w:rPr>
            </w:pPr>
            <w:r w:rsidRPr="004B1E7E">
              <w:rPr>
                <w:rFonts w:ascii="Arial" w:hAnsi="Arial" w:cs="Arial"/>
                <w:sz w:val="18"/>
                <w:szCs w:val="18"/>
                <w:lang w:val="en-ZA"/>
              </w:rPr>
              <w:t>North</w:t>
            </w:r>
            <w:r w:rsidR="00DF7E27">
              <w:rPr>
                <w:rFonts w:ascii="Arial" w:hAnsi="Arial" w:cs="Arial"/>
                <w:sz w:val="18"/>
                <w:szCs w:val="18"/>
                <w:lang w:val="en-ZA"/>
              </w:rPr>
              <w:t>-</w:t>
            </w:r>
            <w:r w:rsidRPr="004B1E7E">
              <w:rPr>
                <w:rFonts w:ascii="Arial" w:hAnsi="Arial" w:cs="Arial"/>
                <w:sz w:val="18"/>
                <w:szCs w:val="18"/>
                <w:lang w:val="en-ZA"/>
              </w:rPr>
              <w:t xml:space="preserve">West Department of Rural, Environmental and Agricultural Development </w:t>
            </w:r>
          </w:p>
        </w:tc>
      </w:tr>
      <w:tr w:rsidR="00576CCA" w:rsidRPr="001854F8" w14:paraId="42B83D8C" w14:textId="77777777" w:rsidTr="004B1E7E">
        <w:trPr>
          <w:trHeight w:hRule="exact" w:val="284"/>
        </w:trPr>
        <w:tc>
          <w:tcPr>
            <w:tcW w:w="1701" w:type="dxa"/>
          </w:tcPr>
          <w:p w14:paraId="75CA1C51" w14:textId="6C2008E0" w:rsidR="00576CCA" w:rsidRPr="004B1E7E" w:rsidRDefault="00B37A7D" w:rsidP="001854F8">
            <w:pPr>
              <w:pStyle w:val="BodyText"/>
              <w:rPr>
                <w:sz w:val="18"/>
                <w:szCs w:val="18"/>
                <w:lang w:val="en-ZA"/>
              </w:rPr>
            </w:pPr>
            <w:r w:rsidRPr="004B1E7E">
              <w:rPr>
                <w:sz w:val="18"/>
                <w:szCs w:val="18"/>
              </w:rPr>
              <w:t>RIS</w:t>
            </w:r>
          </w:p>
        </w:tc>
        <w:tc>
          <w:tcPr>
            <w:tcW w:w="7363" w:type="dxa"/>
            <w:vAlign w:val="top"/>
          </w:tcPr>
          <w:p w14:paraId="65AD418A" w14:textId="5C2E1F40" w:rsidR="00576CCA" w:rsidRPr="004B1E7E" w:rsidRDefault="007F4E9C" w:rsidP="007F4E9C">
            <w:pPr>
              <w:tabs>
                <w:tab w:val="left" w:pos="5350"/>
              </w:tabs>
              <w:rPr>
                <w:rFonts w:ascii="Arial" w:hAnsi="Arial" w:cs="Arial"/>
                <w:sz w:val="18"/>
                <w:szCs w:val="18"/>
              </w:rPr>
            </w:pPr>
            <w:r w:rsidRPr="004B1E7E">
              <w:rPr>
                <w:rFonts w:ascii="Arial" w:hAnsi="Arial" w:cs="Arial"/>
                <w:sz w:val="18"/>
                <w:szCs w:val="18"/>
              </w:rPr>
              <w:t xml:space="preserve">Regulatory Impact Statement </w:t>
            </w:r>
          </w:p>
        </w:tc>
      </w:tr>
      <w:tr w:rsidR="00576CCA" w:rsidRPr="001854F8" w14:paraId="7A40C4D5" w14:textId="77777777" w:rsidTr="004B1E7E">
        <w:trPr>
          <w:trHeight w:hRule="exact" w:val="284"/>
        </w:trPr>
        <w:tc>
          <w:tcPr>
            <w:tcW w:w="1701" w:type="dxa"/>
          </w:tcPr>
          <w:p w14:paraId="5FAA3EF8" w14:textId="51EE0940" w:rsidR="00576CCA" w:rsidRPr="004B1E7E" w:rsidRDefault="00B51247" w:rsidP="001854F8">
            <w:pPr>
              <w:pStyle w:val="BodyText"/>
              <w:rPr>
                <w:sz w:val="18"/>
                <w:szCs w:val="18"/>
                <w:lang w:val="en-ZA"/>
              </w:rPr>
            </w:pPr>
            <w:r w:rsidRPr="004B1E7E">
              <w:rPr>
                <w:sz w:val="18"/>
                <w:szCs w:val="18"/>
              </w:rPr>
              <w:t>S&amp;EIR</w:t>
            </w:r>
          </w:p>
        </w:tc>
        <w:tc>
          <w:tcPr>
            <w:tcW w:w="7363" w:type="dxa"/>
            <w:vAlign w:val="top"/>
          </w:tcPr>
          <w:p w14:paraId="213E9E04" w14:textId="5820F500" w:rsidR="00576CCA" w:rsidRPr="004B1E7E" w:rsidRDefault="00E508B6" w:rsidP="00E508B6">
            <w:pPr>
              <w:rPr>
                <w:rFonts w:ascii="Arial" w:hAnsi="Arial" w:cs="Arial"/>
                <w:sz w:val="18"/>
                <w:szCs w:val="18"/>
              </w:rPr>
            </w:pPr>
            <w:r w:rsidRPr="004B1E7E">
              <w:rPr>
                <w:rFonts w:ascii="Arial" w:hAnsi="Arial" w:cs="Arial"/>
                <w:sz w:val="18"/>
                <w:szCs w:val="18"/>
              </w:rPr>
              <w:t xml:space="preserve">Scoping and Environmental Impact Report </w:t>
            </w:r>
          </w:p>
        </w:tc>
      </w:tr>
      <w:tr w:rsidR="00E508B6" w:rsidRPr="001854F8" w14:paraId="6DCEB534" w14:textId="77777777" w:rsidTr="004B1E7E">
        <w:trPr>
          <w:trHeight w:hRule="exact" w:val="284"/>
        </w:trPr>
        <w:tc>
          <w:tcPr>
            <w:tcW w:w="1701" w:type="dxa"/>
          </w:tcPr>
          <w:p w14:paraId="0629AED0" w14:textId="5953CC5B" w:rsidR="00E508B6" w:rsidRPr="004B1E7E" w:rsidRDefault="00EE1CCF" w:rsidP="001854F8">
            <w:pPr>
              <w:pStyle w:val="BodyText"/>
              <w:rPr>
                <w:sz w:val="18"/>
                <w:szCs w:val="18"/>
              </w:rPr>
            </w:pPr>
            <w:r w:rsidRPr="004B1E7E">
              <w:rPr>
                <w:sz w:val="18"/>
                <w:szCs w:val="18"/>
              </w:rPr>
              <w:t>SAMSA</w:t>
            </w:r>
          </w:p>
        </w:tc>
        <w:tc>
          <w:tcPr>
            <w:tcW w:w="7363" w:type="dxa"/>
            <w:vAlign w:val="top"/>
          </w:tcPr>
          <w:p w14:paraId="082425E7" w14:textId="71E96D53" w:rsidR="00E508B6" w:rsidRPr="004B1E7E" w:rsidRDefault="00FB6FA1" w:rsidP="00FB6FA1">
            <w:pPr>
              <w:rPr>
                <w:rFonts w:ascii="Arial" w:hAnsi="Arial" w:cs="Arial"/>
                <w:sz w:val="18"/>
                <w:szCs w:val="18"/>
              </w:rPr>
            </w:pPr>
            <w:r w:rsidRPr="004B1E7E">
              <w:rPr>
                <w:rFonts w:ascii="Arial" w:hAnsi="Arial" w:cs="Arial"/>
                <w:sz w:val="18"/>
                <w:szCs w:val="18"/>
              </w:rPr>
              <w:t xml:space="preserve">South African Maritime Safety Authority </w:t>
            </w:r>
          </w:p>
        </w:tc>
      </w:tr>
      <w:tr w:rsidR="00E508B6" w:rsidRPr="001854F8" w14:paraId="6278B961" w14:textId="77777777" w:rsidTr="004B1E7E">
        <w:trPr>
          <w:trHeight w:hRule="exact" w:val="284"/>
        </w:trPr>
        <w:tc>
          <w:tcPr>
            <w:tcW w:w="1701" w:type="dxa"/>
          </w:tcPr>
          <w:p w14:paraId="33E38BA1" w14:textId="7C61C85A" w:rsidR="00E508B6" w:rsidRPr="004B1E7E" w:rsidRDefault="006049AD" w:rsidP="001854F8">
            <w:pPr>
              <w:pStyle w:val="BodyText"/>
              <w:rPr>
                <w:sz w:val="18"/>
                <w:szCs w:val="18"/>
              </w:rPr>
            </w:pPr>
            <w:r w:rsidRPr="004B1E7E">
              <w:rPr>
                <w:sz w:val="18"/>
                <w:szCs w:val="18"/>
              </w:rPr>
              <w:t>SANParks</w:t>
            </w:r>
          </w:p>
        </w:tc>
        <w:tc>
          <w:tcPr>
            <w:tcW w:w="7363" w:type="dxa"/>
            <w:vAlign w:val="top"/>
          </w:tcPr>
          <w:p w14:paraId="3B7068FE" w14:textId="203F9E74" w:rsidR="00E508B6" w:rsidRPr="004B1E7E" w:rsidRDefault="00BE713A" w:rsidP="00E508B6">
            <w:pPr>
              <w:rPr>
                <w:rFonts w:ascii="Arial" w:hAnsi="Arial" w:cs="Arial"/>
                <w:sz w:val="18"/>
                <w:szCs w:val="18"/>
              </w:rPr>
            </w:pPr>
            <w:r w:rsidRPr="004B1E7E">
              <w:rPr>
                <w:rFonts w:ascii="Arial" w:hAnsi="Arial" w:cs="Arial"/>
                <w:sz w:val="18"/>
                <w:szCs w:val="18"/>
              </w:rPr>
              <w:t>South African National Parks</w:t>
            </w:r>
          </w:p>
        </w:tc>
      </w:tr>
      <w:tr w:rsidR="00E508B6" w:rsidRPr="001854F8" w14:paraId="055E5FBA" w14:textId="77777777" w:rsidTr="004B1E7E">
        <w:trPr>
          <w:trHeight w:hRule="exact" w:val="284"/>
        </w:trPr>
        <w:tc>
          <w:tcPr>
            <w:tcW w:w="1701" w:type="dxa"/>
          </w:tcPr>
          <w:p w14:paraId="7780C1D5" w14:textId="43782AA9" w:rsidR="00E508B6" w:rsidRPr="004B1E7E" w:rsidRDefault="00C4455A" w:rsidP="001854F8">
            <w:pPr>
              <w:pStyle w:val="BodyText"/>
              <w:rPr>
                <w:sz w:val="18"/>
                <w:szCs w:val="18"/>
              </w:rPr>
            </w:pPr>
            <w:r w:rsidRPr="004B1E7E">
              <w:rPr>
                <w:sz w:val="18"/>
                <w:szCs w:val="18"/>
              </w:rPr>
              <w:t>TOPS</w:t>
            </w:r>
          </w:p>
        </w:tc>
        <w:tc>
          <w:tcPr>
            <w:tcW w:w="7363" w:type="dxa"/>
            <w:vAlign w:val="top"/>
          </w:tcPr>
          <w:p w14:paraId="72356DED" w14:textId="77777777" w:rsidR="003164D2" w:rsidRPr="004B1E7E" w:rsidRDefault="003164D2" w:rsidP="003164D2">
            <w:pPr>
              <w:rPr>
                <w:rFonts w:ascii="Arial" w:hAnsi="Arial" w:cs="Arial"/>
                <w:sz w:val="18"/>
                <w:szCs w:val="18"/>
              </w:rPr>
            </w:pPr>
            <w:r w:rsidRPr="004B1E7E">
              <w:rPr>
                <w:rFonts w:ascii="Arial" w:hAnsi="Arial" w:cs="Arial"/>
                <w:sz w:val="18"/>
                <w:szCs w:val="18"/>
              </w:rPr>
              <w:t xml:space="preserve">Threatened or Protected Species </w:t>
            </w:r>
          </w:p>
          <w:p w14:paraId="2198FE3E" w14:textId="3D8A002C" w:rsidR="00E508B6" w:rsidRPr="004B1E7E" w:rsidRDefault="00E508B6" w:rsidP="003164D2">
            <w:pPr>
              <w:tabs>
                <w:tab w:val="left" w:pos="1590"/>
              </w:tabs>
              <w:rPr>
                <w:rFonts w:ascii="Arial" w:hAnsi="Arial" w:cs="Arial"/>
                <w:sz w:val="18"/>
                <w:szCs w:val="18"/>
              </w:rPr>
            </w:pPr>
          </w:p>
        </w:tc>
      </w:tr>
      <w:tr w:rsidR="00576CCA" w:rsidRPr="001854F8" w14:paraId="35312A42" w14:textId="77777777" w:rsidTr="004B1E7E">
        <w:trPr>
          <w:trHeight w:hRule="exact" w:val="284"/>
        </w:trPr>
        <w:tc>
          <w:tcPr>
            <w:tcW w:w="1701" w:type="dxa"/>
          </w:tcPr>
          <w:p w14:paraId="7BA66A94" w14:textId="15168EF4" w:rsidR="00576CCA" w:rsidRPr="004B1E7E" w:rsidRDefault="00193DF7" w:rsidP="001854F8">
            <w:pPr>
              <w:pStyle w:val="BodyText"/>
              <w:rPr>
                <w:sz w:val="18"/>
                <w:szCs w:val="18"/>
                <w:lang w:val="en-ZA"/>
              </w:rPr>
            </w:pPr>
            <w:r w:rsidRPr="004B1E7E">
              <w:rPr>
                <w:sz w:val="18"/>
                <w:szCs w:val="18"/>
              </w:rPr>
              <w:t>UNDP</w:t>
            </w:r>
          </w:p>
        </w:tc>
        <w:tc>
          <w:tcPr>
            <w:tcW w:w="7363" w:type="dxa"/>
            <w:vAlign w:val="top"/>
          </w:tcPr>
          <w:p w14:paraId="3A53A015" w14:textId="633626BA" w:rsidR="00576CCA" w:rsidRPr="004B1E7E" w:rsidRDefault="004849C3" w:rsidP="004849C3">
            <w:pPr>
              <w:rPr>
                <w:rFonts w:ascii="Arial" w:hAnsi="Arial" w:cs="Arial"/>
                <w:sz w:val="18"/>
                <w:szCs w:val="18"/>
              </w:rPr>
            </w:pPr>
            <w:r w:rsidRPr="004B1E7E">
              <w:rPr>
                <w:rFonts w:ascii="Arial" w:hAnsi="Arial" w:cs="Arial"/>
                <w:sz w:val="18"/>
                <w:szCs w:val="18"/>
              </w:rPr>
              <w:t xml:space="preserve">United Nations Development Programme </w:t>
            </w:r>
          </w:p>
        </w:tc>
      </w:tr>
      <w:tr w:rsidR="004849C3" w:rsidRPr="001854F8" w14:paraId="069CC56C" w14:textId="77777777" w:rsidTr="004B1E7E">
        <w:trPr>
          <w:trHeight w:hRule="exact" w:val="284"/>
        </w:trPr>
        <w:tc>
          <w:tcPr>
            <w:tcW w:w="1701" w:type="dxa"/>
          </w:tcPr>
          <w:p w14:paraId="5AE12221" w14:textId="3628687E" w:rsidR="004849C3" w:rsidRPr="004B1E7E" w:rsidRDefault="00A44715" w:rsidP="001854F8">
            <w:pPr>
              <w:pStyle w:val="BodyText"/>
              <w:rPr>
                <w:sz w:val="18"/>
                <w:szCs w:val="18"/>
              </w:rPr>
            </w:pPr>
            <w:r w:rsidRPr="004B1E7E">
              <w:rPr>
                <w:sz w:val="18"/>
                <w:szCs w:val="18"/>
              </w:rPr>
              <w:t>VGDSE</w:t>
            </w:r>
          </w:p>
        </w:tc>
        <w:tc>
          <w:tcPr>
            <w:tcW w:w="7363" w:type="dxa"/>
            <w:vAlign w:val="top"/>
          </w:tcPr>
          <w:p w14:paraId="09E739B0" w14:textId="036935E6" w:rsidR="004849C3" w:rsidRPr="004B1E7E" w:rsidRDefault="00763E8A" w:rsidP="00763E8A">
            <w:pPr>
              <w:rPr>
                <w:rFonts w:ascii="Arial" w:hAnsi="Arial" w:cs="Arial"/>
                <w:sz w:val="18"/>
                <w:szCs w:val="18"/>
              </w:rPr>
            </w:pPr>
            <w:r w:rsidRPr="004B1E7E">
              <w:rPr>
                <w:rFonts w:ascii="Arial" w:hAnsi="Arial" w:cs="Arial"/>
                <w:sz w:val="18"/>
                <w:szCs w:val="18"/>
              </w:rPr>
              <w:t xml:space="preserve">Victorian Government Department of Sustainability and Environment </w:t>
            </w:r>
          </w:p>
        </w:tc>
      </w:tr>
    </w:tbl>
    <w:p w14:paraId="61E4ACDC" w14:textId="77777777" w:rsidR="000A3B21" w:rsidRPr="001854F8" w:rsidRDefault="000A3B21" w:rsidP="001854F8">
      <w:pPr>
        <w:pStyle w:val="BodyText"/>
      </w:pPr>
    </w:p>
    <w:p w14:paraId="6F4B405D" w14:textId="53D06D4E" w:rsidR="009A6F55" w:rsidRPr="006604FD" w:rsidRDefault="009A6F55" w:rsidP="009A6F55">
      <w:pPr>
        <w:pStyle w:val="NoSpacing"/>
      </w:pPr>
      <w:bookmarkStart w:id="2" w:name="_Toc193448574"/>
      <w:bookmarkStart w:id="3" w:name="_Toc193526973"/>
      <w:bookmarkStart w:id="4" w:name="_Toc193527080"/>
      <w:bookmarkStart w:id="5" w:name="_Toc320869583"/>
      <w:bookmarkStart w:id="6" w:name="_Toc320886205"/>
      <w:bookmarkStart w:id="7" w:name="_Toc325019112"/>
    </w:p>
    <w:bookmarkEnd w:id="2"/>
    <w:bookmarkEnd w:id="3"/>
    <w:bookmarkEnd w:id="4"/>
    <w:bookmarkEnd w:id="5"/>
    <w:bookmarkEnd w:id="6"/>
    <w:bookmarkEnd w:id="7"/>
    <w:p w14:paraId="0BCC8D3B" w14:textId="24765450" w:rsidR="00884536" w:rsidRPr="001854F8" w:rsidRDefault="00884536" w:rsidP="001854F8">
      <w:pPr>
        <w:pStyle w:val="BodyText"/>
        <w:sectPr w:rsidR="00884536" w:rsidRPr="001854F8" w:rsidSect="00913206">
          <w:headerReference w:type="default" r:id="rId13"/>
          <w:type w:val="continuous"/>
          <w:pgSz w:w="11900" w:h="16840" w:code="9"/>
          <w:pgMar w:top="1985" w:right="1418" w:bottom="1418" w:left="1418" w:header="850" w:footer="0" w:gutter="0"/>
          <w:pgNumType w:fmt="lowerRoman" w:start="1"/>
          <w:cols w:space="708"/>
          <w:docGrid w:linePitch="299"/>
        </w:sectPr>
      </w:pPr>
    </w:p>
    <w:p w14:paraId="4152C69B" w14:textId="1D58605C" w:rsidR="0017293C" w:rsidRDefault="00A8687B" w:rsidP="00A12626">
      <w:pPr>
        <w:pStyle w:val="Heading1"/>
        <w:numPr>
          <w:ilvl w:val="0"/>
          <w:numId w:val="7"/>
        </w:numPr>
      </w:pPr>
      <w:bookmarkStart w:id="8" w:name="_Toc100834539"/>
      <w:bookmarkStart w:id="9" w:name="_Toc193448575"/>
      <w:bookmarkStart w:id="10" w:name="_Toc193526974"/>
      <w:bookmarkStart w:id="11" w:name="_Toc193527081"/>
      <w:bookmarkStart w:id="12" w:name="_Toc320869584"/>
      <w:bookmarkEnd w:id="0"/>
      <w:r>
        <w:lastRenderedPageBreak/>
        <w:t>Introduction</w:t>
      </w:r>
      <w:bookmarkEnd w:id="8"/>
    </w:p>
    <w:p w14:paraId="74E06C79" w14:textId="6D9F2577" w:rsidR="00226782" w:rsidRDefault="005C65B8" w:rsidP="00BF07EC">
      <w:pPr>
        <w:pStyle w:val="BodyText"/>
      </w:pPr>
      <w:r>
        <w:t xml:space="preserve">The Department of Forestry, Fisheries and the Environment (DFFE) and the provincial issuing authorities administer several different permits and </w:t>
      </w:r>
      <w:proofErr w:type="spellStart"/>
      <w:r>
        <w:t>licences</w:t>
      </w:r>
      <w:proofErr w:type="spellEnd"/>
      <w:r>
        <w:t xml:space="preserve"> under National Environment Management: Biodiversity Act (NEMBA) 2004 and provincial legislation dealing with biodiversity conservation and wildlife management. The Biodiversity Finance Initiative (BIOFIN) is a global project implemented by the United Nations Development Programme (UNDP). In South Africa, BIOFIN is implemented by the UNDP in partnership with the DFFE. </w:t>
      </w:r>
    </w:p>
    <w:p w14:paraId="4522DC82" w14:textId="34ACB371" w:rsidR="005C65B8" w:rsidRDefault="005C65B8" w:rsidP="00BF07EC">
      <w:pPr>
        <w:pStyle w:val="BodyText"/>
      </w:pPr>
      <w:r>
        <w:t>Part of the BIOFIN programme of work is focused on improving the effectiveness of fees for permits and licenses.</w:t>
      </w:r>
      <w:r w:rsidR="008B36BF">
        <w:t xml:space="preserve"> These include fees for permits and </w:t>
      </w:r>
      <w:proofErr w:type="spellStart"/>
      <w:r w:rsidR="008B36BF">
        <w:t>licences</w:t>
      </w:r>
      <w:proofErr w:type="spellEnd"/>
      <w:r w:rsidR="008B36BF">
        <w:t xml:space="preserve"> </w:t>
      </w:r>
      <w:r w:rsidR="00DB7D21">
        <w:t>for</w:t>
      </w:r>
      <w:r w:rsidR="008B36BF">
        <w:t xml:space="preserve"> national Threatened or Protected Species (TOPS), Bioprospecting Access and Benefit Sharing (BABS), the Convention on International Trade in Endangered Species of Wild Fauna and Flora (CITES), and Alien and Invasive Species (AIS) regulations. They also include fees for permits and </w:t>
      </w:r>
      <w:proofErr w:type="spellStart"/>
      <w:r w:rsidR="008B36BF">
        <w:t>licences</w:t>
      </w:r>
      <w:proofErr w:type="spellEnd"/>
      <w:r w:rsidR="008B36BF">
        <w:t xml:space="preserve"> issued in term of provincial conservation legislation which include fees for hunting and fishing in inland waters. </w:t>
      </w:r>
    </w:p>
    <w:p w14:paraId="09A012A5" w14:textId="69415407" w:rsidR="00AE4D6F" w:rsidRDefault="005C65B8" w:rsidP="005C65B8">
      <w:pPr>
        <w:pStyle w:val="BodyText"/>
      </w:pPr>
      <w:r>
        <w:t>One of the implementation challenges in relation to permit</w:t>
      </w:r>
      <w:r w:rsidR="00BF07EC">
        <w:t>s</w:t>
      </w:r>
      <w:r>
        <w:t xml:space="preserve"> and </w:t>
      </w:r>
      <w:proofErr w:type="spellStart"/>
      <w:r>
        <w:t>licence</w:t>
      </w:r>
      <w:r w:rsidR="00BF07EC">
        <w:t>s</w:t>
      </w:r>
      <w:proofErr w:type="spellEnd"/>
      <w:r>
        <w:t xml:space="preserve"> is the lack of a mechanism to </w:t>
      </w:r>
      <w:r w:rsidR="00AD5C9D">
        <w:t>adj</w:t>
      </w:r>
      <w:r w:rsidR="00C5231C">
        <w:t>ust</w:t>
      </w:r>
      <w:r>
        <w:t xml:space="preserve"> these fees and limited capacity in terms of fee setting and periodic review. Determining appropriate fee amounts </w:t>
      </w:r>
      <w:r w:rsidR="00A57F4C">
        <w:t>is seldom straightforward</w:t>
      </w:r>
      <w:r w:rsidR="00DC1F18">
        <w:t xml:space="preserve"> and</w:t>
      </w:r>
      <w:r w:rsidR="00A57F4C">
        <w:t xml:space="preserve"> </w:t>
      </w:r>
      <w:r>
        <w:t xml:space="preserve">is an important element in the success of the overall regulatory framework around permits and </w:t>
      </w:r>
      <w:proofErr w:type="spellStart"/>
      <w:r>
        <w:t>licences</w:t>
      </w:r>
      <w:proofErr w:type="spellEnd"/>
      <w:r>
        <w:t xml:space="preserve">. Fees can influence the </w:t>
      </w:r>
      <w:proofErr w:type="spellStart"/>
      <w:r>
        <w:t>behaviour</w:t>
      </w:r>
      <w:proofErr w:type="spellEnd"/>
      <w:r>
        <w:t xml:space="preserve"> of applicants and the relationship that applicants have with regulators. They are also directly linked to the revenue that government receives which can cover part of the costs </w:t>
      </w:r>
      <w:r w:rsidR="00DD6AEB">
        <w:t>of</w:t>
      </w:r>
      <w:r>
        <w:t xml:space="preserve"> implementation biodiversity regulations.</w:t>
      </w:r>
    </w:p>
    <w:p w14:paraId="72CA0C31" w14:textId="03A63A65" w:rsidR="005E2732" w:rsidRDefault="00DC1F18" w:rsidP="005E2732">
      <w:pPr>
        <w:pStyle w:val="BodyText"/>
      </w:pPr>
      <w:r>
        <w:t xml:space="preserve">This </w:t>
      </w:r>
      <w:r w:rsidR="005A3131">
        <w:t xml:space="preserve">Summary Findings and </w:t>
      </w:r>
      <w:r>
        <w:t xml:space="preserve">Policy Brief </w:t>
      </w:r>
      <w:r w:rsidR="001E658F">
        <w:t xml:space="preserve">Report </w:t>
      </w:r>
      <w:r>
        <w:t>provides a su</w:t>
      </w:r>
      <w:r w:rsidR="0044225E">
        <w:t xml:space="preserve">mmary of </w:t>
      </w:r>
      <w:r w:rsidR="005A3131">
        <w:t xml:space="preserve">the </w:t>
      </w:r>
      <w:r w:rsidR="0044225E">
        <w:t xml:space="preserve">programme of work on </w:t>
      </w:r>
      <w:r w:rsidR="008B36BF">
        <w:t xml:space="preserve">fees for permits and </w:t>
      </w:r>
      <w:proofErr w:type="spellStart"/>
      <w:r w:rsidR="008B36BF">
        <w:t>licences</w:t>
      </w:r>
      <w:proofErr w:type="spellEnd"/>
      <w:r w:rsidR="0093336C">
        <w:t xml:space="preserve">. It draws on the </w:t>
      </w:r>
      <w:r w:rsidR="001A1664">
        <w:t>three deliverables of the project</w:t>
      </w:r>
      <w:r w:rsidR="002321BC">
        <w:t xml:space="preserve"> which are</w:t>
      </w:r>
      <w:r w:rsidR="00A16D1D">
        <w:t>:</w:t>
      </w:r>
    </w:p>
    <w:p w14:paraId="5195A808" w14:textId="451FDF65" w:rsidR="006350B2" w:rsidRDefault="006350B2" w:rsidP="005E2732">
      <w:pPr>
        <w:pStyle w:val="BodyText"/>
      </w:pPr>
      <w:r w:rsidRPr="006E3B2D">
        <w:rPr>
          <w:noProof/>
          <w:color w:val="FFFFFF"/>
        </w:rPr>
        <w:drawing>
          <wp:inline distT="0" distB="0" distL="0" distR="0" wp14:anchorId="68D11257" wp14:editId="514E19C3">
            <wp:extent cx="5797550" cy="2984500"/>
            <wp:effectExtent l="38100" t="57150" r="69850" b="444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1B1D303" w14:textId="743D22B1" w:rsidR="003D5863" w:rsidRDefault="003B7C76" w:rsidP="00794E41">
      <w:pPr>
        <w:pStyle w:val="BodyText"/>
      </w:pPr>
      <w:r>
        <w:lastRenderedPageBreak/>
        <w:t>The fol</w:t>
      </w:r>
      <w:r w:rsidR="002326FA">
        <w:t xml:space="preserve">lowing section focuses on baseline information </w:t>
      </w:r>
      <w:r w:rsidR="004B2939">
        <w:t>followed by data and analysis relevant to fee determination</w:t>
      </w:r>
      <w:r w:rsidR="009A38D9">
        <w:t xml:space="preserve"> including inflation adjustments, benchmarking and permit processing costs. </w:t>
      </w:r>
      <w:r w:rsidR="00E17F17">
        <w:t xml:space="preserve">The revenue potential of increased fees </w:t>
      </w:r>
      <w:r w:rsidR="00D93B86">
        <w:t>is</w:t>
      </w:r>
      <w:r w:rsidR="002666BD">
        <w:t xml:space="preserve"> then discussed befor</w:t>
      </w:r>
      <w:r w:rsidR="00D93B86">
        <w:t>e</w:t>
      </w:r>
      <w:r w:rsidR="002666BD">
        <w:t xml:space="preserve"> turning to the Fee Determination Framework</w:t>
      </w:r>
      <w:r w:rsidR="00FD126E">
        <w:t xml:space="preserve">. Finally, </w:t>
      </w:r>
      <w:r w:rsidR="00207409">
        <w:t>issu</w:t>
      </w:r>
      <w:r w:rsidR="00675555">
        <w:t>es</w:t>
      </w:r>
      <w:r w:rsidR="00207409">
        <w:t xml:space="preserve"> pertaining to the </w:t>
      </w:r>
      <w:r w:rsidR="00675555">
        <w:t>potential</w:t>
      </w:r>
      <w:r w:rsidR="00207409">
        <w:t xml:space="preserve"> standardization of </w:t>
      </w:r>
      <w:r w:rsidR="00BD5C64">
        <w:t xml:space="preserve">permits and </w:t>
      </w:r>
      <w:proofErr w:type="spellStart"/>
      <w:r w:rsidR="00BD5C64">
        <w:t>licences</w:t>
      </w:r>
      <w:proofErr w:type="spellEnd"/>
      <w:r w:rsidR="00BD5C64">
        <w:t xml:space="preserve"> and their associated fees</w:t>
      </w:r>
      <w:r w:rsidR="00FD126E">
        <w:t xml:space="preserve"> are briefly </w:t>
      </w:r>
      <w:r w:rsidR="00226782">
        <w:t>discussed</w:t>
      </w:r>
      <w:r w:rsidR="00FD126E">
        <w:t>.</w:t>
      </w:r>
    </w:p>
    <w:p w14:paraId="64B293F9" w14:textId="40FEA6E3" w:rsidR="005A4E04" w:rsidRDefault="006E45BA" w:rsidP="00186C46">
      <w:pPr>
        <w:pStyle w:val="Heading1"/>
      </w:pPr>
      <w:bookmarkStart w:id="13" w:name="_Toc100834540"/>
      <w:r>
        <w:t xml:space="preserve">The </w:t>
      </w:r>
      <w:r w:rsidR="00B4519F">
        <w:t xml:space="preserve">permit and </w:t>
      </w:r>
      <w:proofErr w:type="spellStart"/>
      <w:r w:rsidR="00B4519F">
        <w:t>licence</w:t>
      </w:r>
      <w:proofErr w:type="spellEnd"/>
      <w:r w:rsidR="00186C46">
        <w:t xml:space="preserve"> fees</w:t>
      </w:r>
      <w:r w:rsidR="00FE5593">
        <w:t xml:space="preserve"> baseline</w:t>
      </w:r>
      <w:bookmarkEnd w:id="13"/>
    </w:p>
    <w:p w14:paraId="7816240A" w14:textId="1B865AEE" w:rsidR="00A620CB" w:rsidRPr="00046660" w:rsidRDefault="00A620CB" w:rsidP="00FB7756">
      <w:pPr>
        <w:jc w:val="both"/>
        <w:rPr>
          <w:sz w:val="23"/>
          <w:szCs w:val="23"/>
        </w:rPr>
      </w:pPr>
      <w:r>
        <w:t xml:space="preserve">The wider legislative context along with the national and provincial systems of </w:t>
      </w:r>
      <w:proofErr w:type="spellStart"/>
      <w:r>
        <w:t>licences</w:t>
      </w:r>
      <w:proofErr w:type="spellEnd"/>
      <w:r>
        <w:t xml:space="preserve"> and permits both ultimately influence current permit fees and</w:t>
      </w:r>
      <w:r w:rsidR="00DF7619">
        <w:t xml:space="preserve"> </w:t>
      </w:r>
      <w:r>
        <w:t>future possibilities for fees. Current challenges in legislation and permits systems are substantial. They have been considered at length as part of the 2020 High-Level Panel of Experts for the Review of Policies, Legislation and Practices on Matters of Elephant, Lion, Leopard and Rhinoceros Management, Breeding, Hunting, Trade and Handling. Among other things, the High-Level Panel found that</w:t>
      </w:r>
      <w:r w:rsidR="00376842">
        <w:t xml:space="preserve"> </w:t>
      </w:r>
      <w:r w:rsidR="00376842" w:rsidRPr="00046660">
        <w:rPr>
          <w:sz w:val="23"/>
          <w:szCs w:val="23"/>
        </w:rPr>
        <w:t>(HLP, 2020: 294)</w:t>
      </w:r>
      <w:r w:rsidRPr="00046660">
        <w:rPr>
          <w:sz w:val="23"/>
          <w:szCs w:val="23"/>
        </w:rPr>
        <w:t>:</w:t>
      </w:r>
    </w:p>
    <w:p w14:paraId="5E9992E2" w14:textId="77777777" w:rsidR="00322704" w:rsidRDefault="00A620CB" w:rsidP="00322704">
      <w:pPr>
        <w:pStyle w:val="Bullet1"/>
      </w:pPr>
      <w:r>
        <w:t>“</w:t>
      </w:r>
      <w:r w:rsidRPr="00050E9B">
        <w:t xml:space="preserve">The concurrent legislative mandate has resulted in a plethora of conservation / biodiversity related legislation. </w:t>
      </w:r>
    </w:p>
    <w:p w14:paraId="7126F453" w14:textId="77777777" w:rsidR="00322704" w:rsidRDefault="00A620CB" w:rsidP="00322704">
      <w:pPr>
        <w:pStyle w:val="Bullet1"/>
      </w:pPr>
      <w:r w:rsidRPr="00050E9B">
        <w:t xml:space="preserve">In some instances, the provincial legislation is dated having been promulgated pre-Constitution. </w:t>
      </w:r>
    </w:p>
    <w:p w14:paraId="14BA050F" w14:textId="1E2AF5DD" w:rsidR="00A620CB" w:rsidRDefault="00A620CB" w:rsidP="00322704">
      <w:pPr>
        <w:pStyle w:val="Bullet1"/>
      </w:pPr>
      <w:r w:rsidRPr="00050E9B">
        <w:t xml:space="preserve">Reviews and assessments of provincial and national legislation have found examples of the legislative provisions being fragmented, inconsistent and in some instances conflicting. </w:t>
      </w:r>
    </w:p>
    <w:p w14:paraId="1BEECB91" w14:textId="4707DC67" w:rsidR="00A620CB" w:rsidRDefault="00A620CB" w:rsidP="00322704">
      <w:pPr>
        <w:pStyle w:val="Bullet1"/>
      </w:pPr>
      <w:r w:rsidRPr="00050E9B">
        <w:t>The current 9+1 system creates division between provincial conservation authorities and national as well as duplication and confusion amongst clients – it is inefficient.</w:t>
      </w:r>
      <w:r>
        <w:t>”</w:t>
      </w:r>
    </w:p>
    <w:p w14:paraId="492079BC" w14:textId="77777777" w:rsidR="00AC5A8C" w:rsidRDefault="00AC5A8C" w:rsidP="001145F0">
      <w:pPr>
        <w:autoSpaceDE/>
        <w:autoSpaceDN/>
        <w:adjustRightInd/>
        <w:spacing w:after="0" w:line="240" w:lineRule="auto"/>
        <w:jc w:val="both"/>
        <w:rPr>
          <w:rFonts w:ascii="Calibri" w:hAnsi="Calibri" w:cs="Times New Roman"/>
          <w:szCs w:val="20"/>
          <w:lang w:val="en-ZA" w:eastAsia="en-GB" w:bidi="ar-SA"/>
        </w:rPr>
      </w:pPr>
    </w:p>
    <w:p w14:paraId="58BF1D99" w14:textId="4600577B" w:rsidR="00B75B57" w:rsidRDefault="00F94165" w:rsidP="00322704">
      <w:pPr>
        <w:pStyle w:val="BodyText"/>
      </w:pPr>
      <w:r>
        <w:rPr>
          <w:lang w:val="en-ZA" w:eastAsia="en-GB" w:bidi="ar-SA"/>
        </w:rPr>
        <w:t>I</w:t>
      </w:r>
      <w:r w:rsidR="00D05AEE">
        <w:rPr>
          <w:lang w:val="en-ZA" w:eastAsia="en-GB" w:bidi="ar-SA"/>
        </w:rPr>
        <w:t>n</w:t>
      </w:r>
      <w:r>
        <w:rPr>
          <w:lang w:val="en-ZA" w:eastAsia="en-GB" w:bidi="ar-SA"/>
        </w:rPr>
        <w:t xml:space="preserve"> terms of permit types, </w:t>
      </w:r>
      <w:r w:rsidR="00D05AEE">
        <w:rPr>
          <w:lang w:val="en-ZA" w:eastAsia="en-GB" w:bidi="ar-SA"/>
        </w:rPr>
        <w:t>m</w:t>
      </w:r>
      <w:r w:rsidR="001145F0" w:rsidRPr="001145F0">
        <w:rPr>
          <w:lang w:val="en-ZA" w:eastAsia="en-GB" w:bidi="ar-SA"/>
        </w:rPr>
        <w:t xml:space="preserve">ost provinces issue between 30 and 60 different permits and licences under NEMBA. Those that charge hunting permits per individual animal tend to have substantially longer fee lists, for example, reaching over 150 fee types in the case of Limpopo. </w:t>
      </w:r>
      <w:r w:rsidR="00AF5B8E">
        <w:t>Provinces have developed their own unique differentiated permit types, names and fee structures</w:t>
      </w:r>
      <w:r w:rsidR="002F71FE">
        <w:t xml:space="preserve"> guided by their own </w:t>
      </w:r>
      <w:r w:rsidR="00927E62">
        <w:t xml:space="preserve">specific </w:t>
      </w:r>
      <w:r w:rsidR="002F71FE">
        <w:t>legislation and preferences</w:t>
      </w:r>
      <w:r w:rsidR="00AF5B8E">
        <w:t xml:space="preserve">. A review of these identified over 15 obvious and more subtle ways in which permits vary to different degrees between provinces with the most important ones including the scale of activity (usually the number of individuals or species involved), timeframe of validity (incl. once-off fees, temporary fees, annual fees, multi-year fees) and species type (e.g.  </w:t>
      </w:r>
      <w:r w:rsidR="00AF5B8E" w:rsidRPr="00FD1F0D">
        <w:rPr>
          <w:color w:val="000000"/>
          <w:lang w:eastAsia="en-ZA"/>
        </w:rPr>
        <w:t>endangered vs protected vs ordinary species).</w:t>
      </w:r>
      <w:r w:rsidR="00057260" w:rsidRPr="00057260">
        <w:t xml:space="preserve"> </w:t>
      </w:r>
    </w:p>
    <w:p w14:paraId="4E8A5F5C" w14:textId="68281D80" w:rsidR="00AF5B8E" w:rsidRDefault="009E234B" w:rsidP="00322704">
      <w:pPr>
        <w:pStyle w:val="BodyText"/>
      </w:pPr>
      <w:r>
        <w:t>Th</w:t>
      </w:r>
      <w:r w:rsidR="00B75B57">
        <w:t>e</w:t>
      </w:r>
      <w:r>
        <w:t xml:space="preserve"> </w:t>
      </w:r>
      <w:r w:rsidR="00B75B57">
        <w:t xml:space="preserve">limited </w:t>
      </w:r>
      <w:proofErr w:type="spellStart"/>
      <w:r w:rsidR="00796CA6">
        <w:t>standardisation</w:t>
      </w:r>
      <w:proofErr w:type="spellEnd"/>
      <w:r w:rsidR="00B75B57">
        <w:t xml:space="preserve"> of fee types and amounts </w:t>
      </w:r>
      <w:r>
        <w:t xml:space="preserve">makes comparisons </w:t>
      </w:r>
      <w:r w:rsidR="00CD54E0">
        <w:t>difficult</w:t>
      </w:r>
      <w:r w:rsidR="00057260">
        <w:t>.</w:t>
      </w:r>
      <w:r w:rsidR="00B75B57">
        <w:t xml:space="preserve"> Neverth</w:t>
      </w:r>
      <w:r w:rsidR="00963799">
        <w:t xml:space="preserve">eless, </w:t>
      </w:r>
      <w:r w:rsidR="00AF5B8E">
        <w:t xml:space="preserve">general biodiversity-related, biodiversity-trade related and CITES permit fees </w:t>
      </w:r>
      <w:r w:rsidR="006D6E2F">
        <w:t>per province</w:t>
      </w:r>
      <w:r w:rsidR="008066A0">
        <w:t xml:space="preserve"> were</w:t>
      </w:r>
      <w:r w:rsidR="00FF50A7">
        <w:t xml:space="preserve"> </w:t>
      </w:r>
      <w:r w:rsidR="00AE26E6">
        <w:t xml:space="preserve">equalized and </w:t>
      </w:r>
      <w:r w:rsidR="00AF5B8E">
        <w:t xml:space="preserve">are </w:t>
      </w:r>
      <w:proofErr w:type="spellStart"/>
      <w:r w:rsidR="00AF5B8E">
        <w:t>summarised</w:t>
      </w:r>
      <w:proofErr w:type="spellEnd"/>
      <w:r w:rsidR="00AF5B8E">
        <w:t xml:space="preserve"> in </w:t>
      </w:r>
      <w:r w:rsidR="00294997">
        <w:fldChar w:fldCharType="begin"/>
      </w:r>
      <w:r w:rsidR="00294997">
        <w:instrText xml:space="preserve"> REF _Ref87532220 </w:instrText>
      </w:r>
      <w:r w:rsidR="00294997">
        <w:fldChar w:fldCharType="separate"/>
      </w:r>
      <w:r w:rsidR="00AF5B8E">
        <w:t xml:space="preserve">Table </w:t>
      </w:r>
      <w:r w:rsidR="00AF5B8E">
        <w:rPr>
          <w:noProof/>
        </w:rPr>
        <w:t>2</w:t>
      </w:r>
      <w:r w:rsidR="004F713D">
        <w:t>.</w:t>
      </w:r>
      <w:r w:rsidR="004F713D">
        <w:rPr>
          <w:noProof/>
        </w:rPr>
        <w:t>1</w:t>
      </w:r>
      <w:r w:rsidR="00294997">
        <w:rPr>
          <w:noProof/>
        </w:rPr>
        <w:fldChar w:fldCharType="end"/>
      </w:r>
      <w:r w:rsidR="00AE26E6">
        <w:t xml:space="preserve">. </w:t>
      </w:r>
      <w:r w:rsidR="00D62ECF">
        <w:t>Comparisons</w:t>
      </w:r>
      <w:r w:rsidR="002B0132">
        <w:t xml:space="preserve"> shows that s</w:t>
      </w:r>
      <w:r w:rsidR="00135F91">
        <w:t xml:space="preserve">ome </w:t>
      </w:r>
      <w:r w:rsidR="001366E2">
        <w:t xml:space="preserve">currently applicable </w:t>
      </w:r>
      <w:r w:rsidR="00135F91">
        <w:t>fee amount</w:t>
      </w:r>
      <w:r w:rsidR="002033EE">
        <w:t>s</w:t>
      </w:r>
      <w:r w:rsidR="00135F91">
        <w:t xml:space="preserve"> are relatively similar</w:t>
      </w:r>
      <w:r w:rsidR="007D2BCB">
        <w:t xml:space="preserve"> between provinces while some differ by a factor of </w:t>
      </w:r>
      <w:r w:rsidR="002033EE">
        <w:t>10 or more.</w:t>
      </w:r>
    </w:p>
    <w:p w14:paraId="2D7923F1" w14:textId="74D39D1B" w:rsidR="00AF5B8E" w:rsidRDefault="00AF5B8E" w:rsidP="00AF5B8E">
      <w:pPr>
        <w:pStyle w:val="Caption"/>
      </w:pPr>
      <w:bookmarkStart w:id="14" w:name="_Ref87532220"/>
      <w:r>
        <w:lastRenderedPageBreak/>
        <w:t xml:space="preserve">Table </w:t>
      </w:r>
      <w:r w:rsidR="00294997">
        <w:fldChar w:fldCharType="begin"/>
      </w:r>
      <w:r w:rsidR="00294997">
        <w:instrText xml:space="preserve"> STYLEREF 1 \s </w:instrText>
      </w:r>
      <w:r w:rsidR="00294997">
        <w:fldChar w:fldCharType="separate"/>
      </w:r>
      <w:r w:rsidR="004F713D">
        <w:rPr>
          <w:noProof/>
        </w:rPr>
        <w:t>2</w:t>
      </w:r>
      <w:r w:rsidR="00294997">
        <w:rPr>
          <w:noProof/>
        </w:rPr>
        <w:fldChar w:fldCharType="end"/>
      </w:r>
      <w:r>
        <w:t>.</w:t>
      </w:r>
      <w:r w:rsidR="00294997">
        <w:fldChar w:fldCharType="begin"/>
      </w:r>
      <w:r w:rsidR="00294997">
        <w:instrText xml:space="preserve"> SEQ Table \* ARABIC \s 1 </w:instrText>
      </w:r>
      <w:r w:rsidR="00294997">
        <w:fldChar w:fldCharType="separate"/>
      </w:r>
      <w:r w:rsidR="004F713D">
        <w:rPr>
          <w:noProof/>
        </w:rPr>
        <w:t>1</w:t>
      </w:r>
      <w:r w:rsidR="00294997">
        <w:rPr>
          <w:noProof/>
        </w:rPr>
        <w:fldChar w:fldCharType="end"/>
      </w:r>
      <w:bookmarkEnd w:id="14"/>
      <w:r>
        <w:t xml:space="preserve"> </w:t>
      </w:r>
      <w:r w:rsidR="001366E2">
        <w:t>P</w:t>
      </w:r>
      <w:r>
        <w:t xml:space="preserve">rovincial fees for </w:t>
      </w:r>
      <w:r w:rsidR="001001ED">
        <w:t xml:space="preserve">selected </w:t>
      </w:r>
      <w:r>
        <w:t>general biodiversity-related, biodiversity trade-related and CITES permits</w:t>
      </w:r>
    </w:p>
    <w:p w14:paraId="1B648E06" w14:textId="524BF501" w:rsidR="00AF5B8E" w:rsidRDefault="00062C60" w:rsidP="00AF5B8E">
      <w:r w:rsidRPr="00062C60">
        <w:rPr>
          <w:noProof/>
        </w:rPr>
        <w:drawing>
          <wp:inline distT="0" distB="0" distL="0" distR="0" wp14:anchorId="1967F671" wp14:editId="2575D9B0">
            <wp:extent cx="5824666" cy="3911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267" cy="3914690"/>
                    </a:xfrm>
                    <a:prstGeom prst="rect">
                      <a:avLst/>
                    </a:prstGeom>
                    <a:noFill/>
                    <a:ln>
                      <a:noFill/>
                    </a:ln>
                  </pic:spPr>
                </pic:pic>
              </a:graphicData>
            </a:graphic>
          </wp:inline>
        </w:drawing>
      </w:r>
    </w:p>
    <w:p w14:paraId="266A9CA0" w14:textId="16AFDDBB" w:rsidR="00AF5B8E" w:rsidRDefault="00CB4994" w:rsidP="00C04CE8">
      <w:pPr>
        <w:jc w:val="both"/>
      </w:pPr>
      <w:r>
        <w:t xml:space="preserve">Similar </w:t>
      </w:r>
      <w:r w:rsidR="00CE2BD8">
        <w:t>variability in fee application and amount</w:t>
      </w:r>
      <w:r w:rsidR="000D3C07">
        <w:t>s</w:t>
      </w:r>
      <w:r w:rsidR="00CE2BD8">
        <w:t xml:space="preserve"> between provinces </w:t>
      </w:r>
      <w:r w:rsidR="000D3C07">
        <w:t xml:space="preserve">apply to </w:t>
      </w:r>
      <w:r w:rsidR="00AF5B8E">
        <w:t xml:space="preserve">hunting and fishing permit and </w:t>
      </w:r>
      <w:proofErr w:type="spellStart"/>
      <w:r w:rsidR="00AF5B8E">
        <w:t>licence</w:t>
      </w:r>
      <w:proofErr w:type="spellEnd"/>
      <w:r w:rsidR="00AF5B8E">
        <w:t xml:space="preserve"> fees </w:t>
      </w:r>
      <w:proofErr w:type="spellStart"/>
      <w:r w:rsidR="00AF5B8E">
        <w:t>summarised</w:t>
      </w:r>
      <w:proofErr w:type="spellEnd"/>
      <w:r w:rsidR="00AF5B8E">
        <w:t xml:space="preserve"> in </w:t>
      </w:r>
      <w:r w:rsidR="00294997">
        <w:fldChar w:fldCharType="begin"/>
      </w:r>
      <w:r w:rsidR="00294997">
        <w:instrText xml:space="preserve"> REF _Ref87532233 </w:instrText>
      </w:r>
      <w:r w:rsidR="00294997">
        <w:fldChar w:fldCharType="separate"/>
      </w:r>
      <w:r w:rsidR="00AF5B8E">
        <w:t xml:space="preserve">Table </w:t>
      </w:r>
      <w:r w:rsidR="004F713D">
        <w:rPr>
          <w:noProof/>
        </w:rPr>
        <w:t>2</w:t>
      </w:r>
      <w:r w:rsidR="004F713D">
        <w:t>.</w:t>
      </w:r>
      <w:r w:rsidR="004F713D">
        <w:rPr>
          <w:noProof/>
        </w:rPr>
        <w:t>2</w:t>
      </w:r>
      <w:r w:rsidR="00294997">
        <w:rPr>
          <w:noProof/>
        </w:rPr>
        <w:fldChar w:fldCharType="end"/>
      </w:r>
      <w:r w:rsidR="00AF5B8E">
        <w:t xml:space="preserve">. </w:t>
      </w:r>
      <w:r w:rsidR="00036171">
        <w:t>Note that some fees</w:t>
      </w:r>
      <w:r w:rsidR="0072276D">
        <w:t xml:space="preserve"> have not be adjusted for inflation the implications of which are assessed further in </w:t>
      </w:r>
      <w:r w:rsidR="008B1DB0">
        <w:t xml:space="preserve">Section </w:t>
      </w:r>
      <w:r w:rsidR="00294997">
        <w:fldChar w:fldCharType="begin"/>
      </w:r>
      <w:r w:rsidR="00294997">
        <w:instrText xml:space="preserve"> REF _Ref99633230 \r </w:instrText>
      </w:r>
      <w:r w:rsidR="00294997">
        <w:fldChar w:fldCharType="separate"/>
      </w:r>
      <w:r w:rsidR="002D35CA">
        <w:t>3</w:t>
      </w:r>
      <w:r w:rsidR="00294997">
        <w:fldChar w:fldCharType="end"/>
      </w:r>
      <w:r w:rsidR="002D35CA">
        <w:t>.</w:t>
      </w:r>
      <w:r w:rsidR="008B1DB0">
        <w:t xml:space="preserve"> </w:t>
      </w:r>
    </w:p>
    <w:p w14:paraId="63076C08" w14:textId="052624E6" w:rsidR="00AF5B8E" w:rsidRDefault="00AF5B8E" w:rsidP="00AF5B8E">
      <w:pPr>
        <w:pStyle w:val="Caption"/>
      </w:pPr>
      <w:bookmarkStart w:id="15" w:name="_Ref87532233"/>
      <w:r>
        <w:lastRenderedPageBreak/>
        <w:t xml:space="preserve">Table </w:t>
      </w:r>
      <w:r w:rsidR="00294997">
        <w:fldChar w:fldCharType="begin"/>
      </w:r>
      <w:r w:rsidR="00294997">
        <w:instrText xml:space="preserve"> STYLEREF 1 \s </w:instrText>
      </w:r>
      <w:r w:rsidR="00294997">
        <w:fldChar w:fldCharType="separate"/>
      </w:r>
      <w:r w:rsidR="004F713D">
        <w:rPr>
          <w:noProof/>
        </w:rPr>
        <w:t>2</w:t>
      </w:r>
      <w:r w:rsidR="00294997">
        <w:rPr>
          <w:noProof/>
        </w:rPr>
        <w:fldChar w:fldCharType="end"/>
      </w:r>
      <w:r>
        <w:t>.</w:t>
      </w:r>
      <w:r w:rsidR="00294997">
        <w:fldChar w:fldCharType="begin"/>
      </w:r>
      <w:r w:rsidR="00294997">
        <w:instrText xml:space="preserve"> SEQ Table \* ARABIC \s 1 </w:instrText>
      </w:r>
      <w:r w:rsidR="00294997">
        <w:fldChar w:fldCharType="separate"/>
      </w:r>
      <w:r w:rsidR="004F713D">
        <w:rPr>
          <w:noProof/>
        </w:rPr>
        <w:t>2</w:t>
      </w:r>
      <w:r w:rsidR="00294997">
        <w:rPr>
          <w:noProof/>
        </w:rPr>
        <w:fldChar w:fldCharType="end"/>
      </w:r>
      <w:bookmarkEnd w:id="15"/>
      <w:r>
        <w:t xml:space="preserve"> </w:t>
      </w:r>
      <w:r w:rsidR="001001ED">
        <w:t>P</w:t>
      </w:r>
      <w:r>
        <w:t xml:space="preserve">rovincial fees for </w:t>
      </w:r>
      <w:r w:rsidR="001001ED">
        <w:t xml:space="preserve">selected </w:t>
      </w:r>
      <w:r>
        <w:t xml:space="preserve">hunting and fishing permits and </w:t>
      </w:r>
      <w:proofErr w:type="spellStart"/>
      <w:r>
        <w:t>licences</w:t>
      </w:r>
      <w:proofErr w:type="spellEnd"/>
    </w:p>
    <w:p w14:paraId="2EC85ACE" w14:textId="454C48CF" w:rsidR="00AF5B8E" w:rsidRDefault="002D11EF" w:rsidP="00AF5B8E">
      <w:r w:rsidRPr="002D11EF">
        <w:rPr>
          <w:noProof/>
        </w:rPr>
        <w:drawing>
          <wp:inline distT="0" distB="0" distL="0" distR="0" wp14:anchorId="7FBF21A9" wp14:editId="510EA0D4">
            <wp:extent cx="5755640" cy="332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3322320"/>
                    </a:xfrm>
                    <a:prstGeom prst="rect">
                      <a:avLst/>
                    </a:prstGeom>
                    <a:noFill/>
                    <a:ln>
                      <a:noFill/>
                    </a:ln>
                  </pic:spPr>
                </pic:pic>
              </a:graphicData>
            </a:graphic>
          </wp:inline>
        </w:drawing>
      </w:r>
    </w:p>
    <w:p w14:paraId="62526C30" w14:textId="69817252" w:rsidR="001D5B54" w:rsidRPr="001D5B54" w:rsidRDefault="001D5B54" w:rsidP="004E5D29">
      <w:pPr>
        <w:pStyle w:val="BodyText"/>
        <w:rPr>
          <w:lang w:val="en-ZA" w:bidi="ar-SA"/>
        </w:rPr>
      </w:pPr>
      <w:r w:rsidRPr="001D5B54">
        <w:rPr>
          <w:lang w:val="en-ZA" w:eastAsia="en-GB" w:bidi="ar-SA"/>
        </w:rPr>
        <w:t xml:space="preserve">The number of permits issued by all issuing authorities is shown in </w:t>
      </w:r>
      <w:r w:rsidRPr="00FB32E0">
        <w:rPr>
          <w:lang w:val="en-ZA" w:eastAsia="en-GB" w:bidi="ar-SA"/>
        </w:rPr>
        <w:fldChar w:fldCharType="begin"/>
      </w:r>
      <w:r w:rsidRPr="00FB32E0">
        <w:rPr>
          <w:lang w:val="en-ZA" w:eastAsia="en-GB" w:bidi="ar-SA"/>
        </w:rPr>
        <w:instrText xml:space="preserve"> REF _Ref80348074 </w:instrText>
      </w:r>
      <w:r w:rsidR="00FB32E0" w:rsidRPr="00FB32E0">
        <w:rPr>
          <w:lang w:val="en-ZA" w:eastAsia="en-GB" w:bidi="ar-SA"/>
        </w:rPr>
        <w:instrText xml:space="preserve"> \* MERGEFORMAT </w:instrText>
      </w:r>
      <w:r w:rsidRPr="00FB32E0">
        <w:rPr>
          <w:lang w:val="en-ZA" w:eastAsia="en-GB" w:bidi="ar-SA"/>
        </w:rPr>
        <w:fldChar w:fldCharType="separate"/>
      </w:r>
      <w:r w:rsidR="004F713D" w:rsidRPr="00FB32E0">
        <w:rPr>
          <w:bCs/>
          <w:lang w:val="en-ZA" w:bidi="ar-SA"/>
        </w:rPr>
        <w:t xml:space="preserve">Table </w:t>
      </w:r>
      <w:r w:rsidR="004F713D" w:rsidRPr="00FB32E0">
        <w:rPr>
          <w:bCs/>
          <w:noProof/>
          <w:lang w:val="en-ZA" w:bidi="ar-SA"/>
        </w:rPr>
        <w:t>2</w:t>
      </w:r>
      <w:r w:rsidR="004F713D" w:rsidRPr="00FB32E0">
        <w:rPr>
          <w:bCs/>
          <w:lang w:val="en-ZA" w:bidi="ar-SA"/>
        </w:rPr>
        <w:noBreakHyphen/>
      </w:r>
      <w:r w:rsidR="004F713D" w:rsidRPr="00FB32E0">
        <w:rPr>
          <w:bCs/>
          <w:noProof/>
          <w:lang w:val="en-ZA" w:bidi="ar-SA"/>
        </w:rPr>
        <w:t>3</w:t>
      </w:r>
      <w:r w:rsidRPr="00FB32E0">
        <w:rPr>
          <w:lang w:val="en-ZA" w:eastAsia="en-GB" w:bidi="ar-SA"/>
        </w:rPr>
        <w:fldChar w:fldCharType="end"/>
      </w:r>
      <w:r w:rsidRPr="00FB32E0">
        <w:rPr>
          <w:lang w:val="en-ZA" w:eastAsia="en-GB" w:bidi="ar-SA"/>
        </w:rPr>
        <w:t>.</w:t>
      </w:r>
      <w:r w:rsidRPr="001D5B54">
        <w:rPr>
          <w:lang w:val="en-ZA" w:eastAsia="en-GB" w:bidi="ar-SA"/>
        </w:rPr>
        <w:t xml:space="preserve"> For 2019, the most recent pre-COVID year, a total of 47,968 permits were issued which is </w:t>
      </w:r>
      <w:proofErr w:type="gramStart"/>
      <w:r w:rsidRPr="001D5B54">
        <w:rPr>
          <w:lang w:val="en-ZA" w:eastAsia="en-GB" w:bidi="ar-SA"/>
        </w:rPr>
        <w:t>similar to</w:t>
      </w:r>
      <w:proofErr w:type="gramEnd"/>
      <w:r w:rsidRPr="001D5B54">
        <w:rPr>
          <w:lang w:val="en-ZA" w:eastAsia="en-GB" w:bidi="ar-SA"/>
        </w:rPr>
        <w:t xml:space="preserve"> the year before that. A</w:t>
      </w:r>
      <w:r w:rsidR="001E5A39">
        <w:rPr>
          <w:lang w:val="en-ZA" w:eastAsia="en-GB" w:bidi="ar-SA"/>
        </w:rPr>
        <w:t xml:space="preserve">lmost </w:t>
      </w:r>
      <w:r w:rsidR="00E272B0">
        <w:rPr>
          <w:lang w:val="en-ZA" w:eastAsia="en-GB" w:bidi="ar-SA"/>
        </w:rPr>
        <w:t>99</w:t>
      </w:r>
      <w:r w:rsidRPr="001D5B54">
        <w:rPr>
          <w:lang w:val="en-ZA" w:eastAsia="en-GB" w:bidi="ar-SA"/>
        </w:rPr>
        <w:t>% of these permits were issued by the provincial issuing authorities.</w:t>
      </w:r>
      <w:r w:rsidR="00B339A3">
        <w:rPr>
          <w:rStyle w:val="FootnoteReference"/>
          <w:lang w:val="en-ZA" w:eastAsia="en-GB" w:bidi="ar-SA"/>
        </w:rPr>
        <w:footnoteReference w:id="2"/>
      </w:r>
    </w:p>
    <w:p w14:paraId="0F0D6B2C" w14:textId="7BB14AEC" w:rsidR="001D5B54" w:rsidRPr="001D5B54" w:rsidRDefault="001D5B54" w:rsidP="00D91FCD">
      <w:pPr>
        <w:pStyle w:val="Caption"/>
        <w:rPr>
          <w:lang w:val="en-ZA" w:bidi="ar-SA"/>
        </w:rPr>
      </w:pPr>
      <w:bookmarkStart w:id="16" w:name="_Ref80348074"/>
      <w:r w:rsidRPr="001D5B54">
        <w:rPr>
          <w:lang w:val="en-ZA" w:bidi="ar-SA"/>
        </w:rPr>
        <w:t xml:space="preserve">Table </w:t>
      </w:r>
      <w:r w:rsidRPr="001D5B54">
        <w:rPr>
          <w:lang w:val="en-ZA" w:bidi="ar-SA"/>
        </w:rPr>
        <w:fldChar w:fldCharType="begin"/>
      </w:r>
      <w:r w:rsidRPr="001D5B54">
        <w:rPr>
          <w:lang w:val="en-ZA" w:bidi="ar-SA"/>
        </w:rPr>
        <w:instrText xml:space="preserve"> STYLEREF 1 \s </w:instrText>
      </w:r>
      <w:r w:rsidRPr="001D5B54">
        <w:rPr>
          <w:lang w:val="en-ZA" w:bidi="ar-SA"/>
        </w:rPr>
        <w:fldChar w:fldCharType="separate"/>
      </w:r>
      <w:r w:rsidR="004E7021">
        <w:rPr>
          <w:noProof/>
          <w:lang w:val="en-ZA" w:bidi="ar-SA"/>
        </w:rPr>
        <w:t>2</w:t>
      </w:r>
      <w:r w:rsidRPr="001D5B54">
        <w:rPr>
          <w:lang w:val="en-ZA" w:bidi="ar-SA"/>
        </w:rPr>
        <w:fldChar w:fldCharType="end"/>
      </w:r>
      <w:r w:rsidRPr="001D5B54">
        <w:rPr>
          <w:lang w:val="en-ZA" w:bidi="ar-SA"/>
        </w:rPr>
        <w:noBreakHyphen/>
      </w:r>
      <w:r w:rsidRPr="001D5B54">
        <w:rPr>
          <w:lang w:val="en-ZA" w:bidi="ar-SA"/>
        </w:rPr>
        <w:fldChar w:fldCharType="begin"/>
      </w:r>
      <w:r w:rsidRPr="001D5B54">
        <w:rPr>
          <w:lang w:val="en-ZA" w:bidi="ar-SA"/>
        </w:rPr>
        <w:instrText xml:space="preserve"> SEQ Table \* ARABIC \s 1 </w:instrText>
      </w:r>
      <w:r w:rsidRPr="001D5B54">
        <w:rPr>
          <w:lang w:val="en-ZA" w:bidi="ar-SA"/>
        </w:rPr>
        <w:fldChar w:fldCharType="separate"/>
      </w:r>
      <w:r w:rsidR="004E7021">
        <w:rPr>
          <w:noProof/>
          <w:lang w:val="en-ZA" w:bidi="ar-SA"/>
        </w:rPr>
        <w:t>3</w:t>
      </w:r>
      <w:r w:rsidRPr="001D5B54">
        <w:rPr>
          <w:lang w:val="en-ZA" w:bidi="ar-SA"/>
        </w:rPr>
        <w:fldChar w:fldCharType="end"/>
      </w:r>
      <w:bookmarkEnd w:id="16"/>
      <w:r w:rsidRPr="001D5B54">
        <w:rPr>
          <w:lang w:val="en-ZA" w:bidi="ar-SA"/>
        </w:rPr>
        <w:t>: Number of permits issued by all issuing authorities, 2016 - 2020</w:t>
      </w:r>
    </w:p>
    <w:tbl>
      <w:tblPr>
        <w:tblW w:w="8040" w:type="dxa"/>
        <w:tblLook w:val="04A0" w:firstRow="1" w:lastRow="0" w:firstColumn="1" w:lastColumn="0" w:noHBand="0" w:noVBand="1"/>
      </w:tblPr>
      <w:tblGrid>
        <w:gridCol w:w="2440"/>
        <w:gridCol w:w="1120"/>
        <w:gridCol w:w="1120"/>
        <w:gridCol w:w="1120"/>
        <w:gridCol w:w="1120"/>
        <w:gridCol w:w="1120"/>
      </w:tblGrid>
      <w:tr w:rsidR="001D5B54" w:rsidRPr="001D5B54" w14:paraId="23DA7D66" w14:textId="77777777" w:rsidTr="004727E6">
        <w:trPr>
          <w:trHeight w:val="385"/>
        </w:trPr>
        <w:tc>
          <w:tcPr>
            <w:tcW w:w="2440" w:type="dxa"/>
            <w:tcBorders>
              <w:top w:val="single" w:sz="4" w:space="0" w:color="auto"/>
              <w:left w:val="single" w:sz="4" w:space="0" w:color="auto"/>
              <w:bottom w:val="nil"/>
              <w:right w:val="single" w:sz="4" w:space="0" w:color="auto"/>
            </w:tcBorders>
            <w:shd w:val="clear" w:color="000000" w:fill="DDEBF7"/>
            <w:noWrap/>
            <w:vAlign w:val="center"/>
            <w:hideMark/>
          </w:tcPr>
          <w:p w14:paraId="10D52285"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Issuing Authority</w:t>
            </w:r>
          </w:p>
        </w:tc>
        <w:tc>
          <w:tcPr>
            <w:tcW w:w="1120" w:type="dxa"/>
            <w:tcBorders>
              <w:top w:val="single" w:sz="4" w:space="0" w:color="auto"/>
              <w:left w:val="nil"/>
              <w:bottom w:val="nil"/>
              <w:right w:val="single" w:sz="4" w:space="0" w:color="auto"/>
            </w:tcBorders>
            <w:shd w:val="clear" w:color="000000" w:fill="DDEBF7"/>
            <w:noWrap/>
            <w:vAlign w:val="center"/>
            <w:hideMark/>
          </w:tcPr>
          <w:p w14:paraId="5B9A103F" w14:textId="77777777" w:rsidR="001D5B54" w:rsidRPr="001D5B54" w:rsidRDefault="001D5B54" w:rsidP="001D5B54">
            <w:pPr>
              <w:autoSpaceDE/>
              <w:autoSpaceDN/>
              <w:adjustRightInd/>
              <w:spacing w:after="0" w:line="240" w:lineRule="auto"/>
              <w:jc w:val="center"/>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2016</w:t>
            </w:r>
          </w:p>
        </w:tc>
        <w:tc>
          <w:tcPr>
            <w:tcW w:w="1120" w:type="dxa"/>
            <w:tcBorders>
              <w:top w:val="single" w:sz="4" w:space="0" w:color="auto"/>
              <w:left w:val="nil"/>
              <w:bottom w:val="nil"/>
              <w:right w:val="single" w:sz="4" w:space="0" w:color="auto"/>
            </w:tcBorders>
            <w:shd w:val="clear" w:color="000000" w:fill="DDEBF7"/>
            <w:noWrap/>
            <w:vAlign w:val="center"/>
            <w:hideMark/>
          </w:tcPr>
          <w:p w14:paraId="406E291D" w14:textId="77777777" w:rsidR="001D5B54" w:rsidRPr="001D5B54" w:rsidRDefault="001D5B54" w:rsidP="001D5B54">
            <w:pPr>
              <w:autoSpaceDE/>
              <w:autoSpaceDN/>
              <w:adjustRightInd/>
              <w:spacing w:after="0" w:line="240" w:lineRule="auto"/>
              <w:jc w:val="center"/>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2017</w:t>
            </w:r>
          </w:p>
        </w:tc>
        <w:tc>
          <w:tcPr>
            <w:tcW w:w="1120" w:type="dxa"/>
            <w:tcBorders>
              <w:top w:val="single" w:sz="4" w:space="0" w:color="auto"/>
              <w:left w:val="nil"/>
              <w:bottom w:val="nil"/>
              <w:right w:val="single" w:sz="4" w:space="0" w:color="auto"/>
            </w:tcBorders>
            <w:shd w:val="clear" w:color="000000" w:fill="DDEBF7"/>
            <w:noWrap/>
            <w:vAlign w:val="center"/>
            <w:hideMark/>
          </w:tcPr>
          <w:p w14:paraId="5D2C0A69" w14:textId="77777777" w:rsidR="001D5B54" w:rsidRPr="001D5B54" w:rsidRDefault="001D5B54" w:rsidP="001D5B54">
            <w:pPr>
              <w:autoSpaceDE/>
              <w:autoSpaceDN/>
              <w:adjustRightInd/>
              <w:spacing w:after="0" w:line="240" w:lineRule="auto"/>
              <w:jc w:val="center"/>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2018</w:t>
            </w:r>
          </w:p>
        </w:tc>
        <w:tc>
          <w:tcPr>
            <w:tcW w:w="1120" w:type="dxa"/>
            <w:tcBorders>
              <w:top w:val="single" w:sz="4" w:space="0" w:color="auto"/>
              <w:left w:val="nil"/>
              <w:bottom w:val="nil"/>
              <w:right w:val="single" w:sz="4" w:space="0" w:color="auto"/>
            </w:tcBorders>
            <w:shd w:val="clear" w:color="000000" w:fill="DDEBF7"/>
            <w:noWrap/>
            <w:vAlign w:val="center"/>
            <w:hideMark/>
          </w:tcPr>
          <w:p w14:paraId="7D9845EB" w14:textId="77777777" w:rsidR="001D5B54" w:rsidRPr="001D5B54" w:rsidRDefault="001D5B54" w:rsidP="001D5B54">
            <w:pPr>
              <w:autoSpaceDE/>
              <w:autoSpaceDN/>
              <w:adjustRightInd/>
              <w:spacing w:after="0" w:line="240" w:lineRule="auto"/>
              <w:jc w:val="center"/>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2019</w:t>
            </w:r>
          </w:p>
        </w:tc>
        <w:tc>
          <w:tcPr>
            <w:tcW w:w="1120" w:type="dxa"/>
            <w:tcBorders>
              <w:top w:val="single" w:sz="4" w:space="0" w:color="auto"/>
              <w:left w:val="nil"/>
              <w:bottom w:val="nil"/>
              <w:right w:val="single" w:sz="4" w:space="0" w:color="auto"/>
            </w:tcBorders>
            <w:shd w:val="clear" w:color="000000" w:fill="DDEBF7"/>
            <w:noWrap/>
            <w:vAlign w:val="center"/>
            <w:hideMark/>
          </w:tcPr>
          <w:p w14:paraId="55BF382A" w14:textId="77777777" w:rsidR="001D5B54" w:rsidRPr="001D5B54" w:rsidRDefault="001D5B54" w:rsidP="001D5B54">
            <w:pPr>
              <w:autoSpaceDE/>
              <w:autoSpaceDN/>
              <w:adjustRightInd/>
              <w:spacing w:after="0" w:line="240" w:lineRule="auto"/>
              <w:jc w:val="center"/>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2020</w:t>
            </w:r>
          </w:p>
        </w:tc>
      </w:tr>
      <w:tr w:rsidR="001D5B54" w:rsidRPr="001D5B54" w14:paraId="713B9AE3" w14:textId="77777777" w:rsidTr="004727E6">
        <w:trPr>
          <w:trHeight w:val="373"/>
        </w:trPr>
        <w:tc>
          <w:tcPr>
            <w:tcW w:w="2440" w:type="dxa"/>
            <w:tcBorders>
              <w:top w:val="single" w:sz="4" w:space="0" w:color="auto"/>
              <w:left w:val="single" w:sz="4" w:space="0" w:color="auto"/>
              <w:bottom w:val="single" w:sz="4" w:space="0" w:color="auto"/>
              <w:right w:val="nil"/>
            </w:tcBorders>
            <w:shd w:val="clear" w:color="000000" w:fill="F2F2F2"/>
            <w:noWrap/>
            <w:vAlign w:val="center"/>
            <w:hideMark/>
          </w:tcPr>
          <w:p w14:paraId="1009793D"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National - DFFE</w:t>
            </w:r>
          </w:p>
        </w:tc>
        <w:tc>
          <w:tcPr>
            <w:tcW w:w="1120" w:type="dxa"/>
            <w:tcBorders>
              <w:top w:val="single" w:sz="4" w:space="0" w:color="auto"/>
              <w:left w:val="nil"/>
              <w:bottom w:val="single" w:sz="4" w:space="0" w:color="auto"/>
              <w:right w:val="nil"/>
            </w:tcBorders>
            <w:shd w:val="clear" w:color="000000" w:fill="F2F2F2"/>
            <w:noWrap/>
            <w:vAlign w:val="bottom"/>
            <w:hideMark/>
          </w:tcPr>
          <w:p w14:paraId="567CE210"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single" w:sz="4" w:space="0" w:color="auto"/>
              <w:left w:val="nil"/>
              <w:bottom w:val="single" w:sz="4" w:space="0" w:color="auto"/>
              <w:right w:val="nil"/>
            </w:tcBorders>
            <w:shd w:val="clear" w:color="000000" w:fill="F2F2F2"/>
            <w:noWrap/>
            <w:vAlign w:val="bottom"/>
            <w:hideMark/>
          </w:tcPr>
          <w:p w14:paraId="0FF975E7"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single" w:sz="4" w:space="0" w:color="auto"/>
              <w:left w:val="nil"/>
              <w:bottom w:val="single" w:sz="4" w:space="0" w:color="auto"/>
              <w:right w:val="nil"/>
            </w:tcBorders>
            <w:shd w:val="clear" w:color="000000" w:fill="F2F2F2"/>
            <w:noWrap/>
            <w:vAlign w:val="bottom"/>
            <w:hideMark/>
          </w:tcPr>
          <w:p w14:paraId="702CDC95"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single" w:sz="4" w:space="0" w:color="auto"/>
              <w:left w:val="nil"/>
              <w:bottom w:val="single" w:sz="4" w:space="0" w:color="auto"/>
              <w:right w:val="nil"/>
            </w:tcBorders>
            <w:shd w:val="clear" w:color="000000" w:fill="F2F2F2"/>
            <w:noWrap/>
            <w:vAlign w:val="bottom"/>
            <w:hideMark/>
          </w:tcPr>
          <w:p w14:paraId="04172CC7"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single" w:sz="4" w:space="0" w:color="auto"/>
              <w:left w:val="nil"/>
              <w:bottom w:val="single" w:sz="4" w:space="0" w:color="auto"/>
              <w:right w:val="nil"/>
            </w:tcBorders>
            <w:shd w:val="clear" w:color="000000" w:fill="F2F2F2"/>
            <w:noWrap/>
            <w:vAlign w:val="bottom"/>
            <w:hideMark/>
          </w:tcPr>
          <w:p w14:paraId="081D9075"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r>
      <w:tr w:rsidR="001D5B54" w:rsidRPr="001D5B54" w14:paraId="561ACC99"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6B1F41F"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TOPS</w:t>
            </w:r>
          </w:p>
        </w:tc>
        <w:tc>
          <w:tcPr>
            <w:tcW w:w="1120" w:type="dxa"/>
            <w:tcBorders>
              <w:top w:val="nil"/>
              <w:left w:val="nil"/>
              <w:bottom w:val="single" w:sz="4" w:space="0" w:color="auto"/>
              <w:right w:val="single" w:sz="4" w:space="0" w:color="auto"/>
            </w:tcBorders>
            <w:shd w:val="clear" w:color="auto" w:fill="auto"/>
            <w:noWrap/>
            <w:vAlign w:val="center"/>
            <w:hideMark/>
          </w:tcPr>
          <w:p w14:paraId="43EF1444"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65 </w:t>
            </w:r>
          </w:p>
        </w:tc>
        <w:tc>
          <w:tcPr>
            <w:tcW w:w="1120" w:type="dxa"/>
            <w:tcBorders>
              <w:top w:val="nil"/>
              <w:left w:val="nil"/>
              <w:bottom w:val="single" w:sz="4" w:space="0" w:color="auto"/>
              <w:right w:val="single" w:sz="4" w:space="0" w:color="auto"/>
            </w:tcBorders>
            <w:shd w:val="clear" w:color="auto" w:fill="auto"/>
            <w:noWrap/>
            <w:vAlign w:val="center"/>
            <w:hideMark/>
          </w:tcPr>
          <w:p w14:paraId="45E947B9"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72 </w:t>
            </w:r>
          </w:p>
        </w:tc>
        <w:tc>
          <w:tcPr>
            <w:tcW w:w="1120" w:type="dxa"/>
            <w:tcBorders>
              <w:top w:val="nil"/>
              <w:left w:val="nil"/>
              <w:bottom w:val="single" w:sz="4" w:space="0" w:color="auto"/>
              <w:right w:val="single" w:sz="4" w:space="0" w:color="auto"/>
            </w:tcBorders>
            <w:shd w:val="clear" w:color="auto" w:fill="auto"/>
            <w:noWrap/>
            <w:vAlign w:val="center"/>
            <w:hideMark/>
          </w:tcPr>
          <w:p w14:paraId="217167F0"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76 </w:t>
            </w:r>
          </w:p>
        </w:tc>
        <w:tc>
          <w:tcPr>
            <w:tcW w:w="1120" w:type="dxa"/>
            <w:tcBorders>
              <w:top w:val="nil"/>
              <w:left w:val="nil"/>
              <w:bottom w:val="single" w:sz="4" w:space="0" w:color="auto"/>
              <w:right w:val="single" w:sz="4" w:space="0" w:color="auto"/>
            </w:tcBorders>
            <w:shd w:val="clear" w:color="auto" w:fill="auto"/>
            <w:noWrap/>
            <w:vAlign w:val="center"/>
            <w:hideMark/>
          </w:tcPr>
          <w:p w14:paraId="16AD32F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106 </w:t>
            </w:r>
          </w:p>
        </w:tc>
        <w:tc>
          <w:tcPr>
            <w:tcW w:w="1120" w:type="dxa"/>
            <w:tcBorders>
              <w:top w:val="nil"/>
              <w:left w:val="nil"/>
              <w:bottom w:val="single" w:sz="4" w:space="0" w:color="auto"/>
              <w:right w:val="single" w:sz="4" w:space="0" w:color="auto"/>
            </w:tcBorders>
            <w:shd w:val="clear" w:color="auto" w:fill="auto"/>
            <w:noWrap/>
            <w:vAlign w:val="center"/>
            <w:hideMark/>
          </w:tcPr>
          <w:p w14:paraId="0D88D9D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103 </w:t>
            </w:r>
          </w:p>
        </w:tc>
      </w:tr>
      <w:tr w:rsidR="001D5B54" w:rsidRPr="001D5B54" w14:paraId="52022691"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D27F733"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CITES</w:t>
            </w:r>
          </w:p>
        </w:tc>
        <w:tc>
          <w:tcPr>
            <w:tcW w:w="1120" w:type="dxa"/>
            <w:tcBorders>
              <w:top w:val="nil"/>
              <w:left w:val="nil"/>
              <w:bottom w:val="single" w:sz="4" w:space="0" w:color="auto"/>
              <w:right w:val="single" w:sz="4" w:space="0" w:color="auto"/>
            </w:tcBorders>
            <w:shd w:val="clear" w:color="auto" w:fill="auto"/>
            <w:noWrap/>
            <w:vAlign w:val="center"/>
            <w:hideMark/>
          </w:tcPr>
          <w:p w14:paraId="614355C3"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6F3E0BC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611 </w:t>
            </w:r>
          </w:p>
        </w:tc>
        <w:tc>
          <w:tcPr>
            <w:tcW w:w="1120" w:type="dxa"/>
            <w:tcBorders>
              <w:top w:val="nil"/>
              <w:left w:val="nil"/>
              <w:bottom w:val="single" w:sz="4" w:space="0" w:color="auto"/>
              <w:right w:val="single" w:sz="4" w:space="0" w:color="auto"/>
            </w:tcBorders>
            <w:shd w:val="clear" w:color="auto" w:fill="auto"/>
            <w:noWrap/>
            <w:vAlign w:val="center"/>
            <w:hideMark/>
          </w:tcPr>
          <w:p w14:paraId="3A57C23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105 </w:t>
            </w:r>
          </w:p>
        </w:tc>
        <w:tc>
          <w:tcPr>
            <w:tcW w:w="1120" w:type="dxa"/>
            <w:tcBorders>
              <w:top w:val="nil"/>
              <w:left w:val="nil"/>
              <w:bottom w:val="single" w:sz="4" w:space="0" w:color="auto"/>
              <w:right w:val="single" w:sz="4" w:space="0" w:color="auto"/>
            </w:tcBorders>
            <w:shd w:val="clear" w:color="auto" w:fill="auto"/>
            <w:noWrap/>
            <w:vAlign w:val="center"/>
            <w:hideMark/>
          </w:tcPr>
          <w:p w14:paraId="53C38749"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44 </w:t>
            </w:r>
          </w:p>
        </w:tc>
        <w:tc>
          <w:tcPr>
            <w:tcW w:w="1120" w:type="dxa"/>
            <w:tcBorders>
              <w:top w:val="nil"/>
              <w:left w:val="nil"/>
              <w:bottom w:val="single" w:sz="4" w:space="0" w:color="auto"/>
              <w:right w:val="single" w:sz="4" w:space="0" w:color="auto"/>
            </w:tcBorders>
            <w:shd w:val="clear" w:color="auto" w:fill="auto"/>
            <w:noWrap/>
            <w:vAlign w:val="center"/>
            <w:hideMark/>
          </w:tcPr>
          <w:p w14:paraId="0F29CF4B"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r>
      <w:tr w:rsidR="001D5B54" w:rsidRPr="001D5B54" w14:paraId="658F7E10"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78E7CF7"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TOPS and CITES Marine</w:t>
            </w:r>
          </w:p>
        </w:tc>
        <w:tc>
          <w:tcPr>
            <w:tcW w:w="1120" w:type="dxa"/>
            <w:tcBorders>
              <w:top w:val="nil"/>
              <w:left w:val="nil"/>
              <w:bottom w:val="single" w:sz="4" w:space="0" w:color="auto"/>
              <w:right w:val="single" w:sz="4" w:space="0" w:color="auto"/>
            </w:tcBorders>
            <w:shd w:val="clear" w:color="auto" w:fill="auto"/>
            <w:noWrap/>
            <w:vAlign w:val="center"/>
            <w:hideMark/>
          </w:tcPr>
          <w:p w14:paraId="705CE5F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EF5DEB"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32 </w:t>
            </w:r>
          </w:p>
        </w:tc>
        <w:tc>
          <w:tcPr>
            <w:tcW w:w="1120" w:type="dxa"/>
            <w:tcBorders>
              <w:top w:val="nil"/>
              <w:left w:val="nil"/>
              <w:bottom w:val="single" w:sz="4" w:space="0" w:color="auto"/>
              <w:right w:val="single" w:sz="4" w:space="0" w:color="auto"/>
            </w:tcBorders>
            <w:shd w:val="clear" w:color="auto" w:fill="auto"/>
            <w:noWrap/>
            <w:vAlign w:val="center"/>
            <w:hideMark/>
          </w:tcPr>
          <w:p w14:paraId="17F2DFE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36 </w:t>
            </w:r>
          </w:p>
        </w:tc>
        <w:tc>
          <w:tcPr>
            <w:tcW w:w="1120" w:type="dxa"/>
            <w:tcBorders>
              <w:top w:val="nil"/>
              <w:left w:val="nil"/>
              <w:bottom w:val="single" w:sz="4" w:space="0" w:color="auto"/>
              <w:right w:val="single" w:sz="4" w:space="0" w:color="auto"/>
            </w:tcBorders>
            <w:shd w:val="clear" w:color="auto" w:fill="auto"/>
            <w:noWrap/>
            <w:vAlign w:val="center"/>
            <w:hideMark/>
          </w:tcPr>
          <w:p w14:paraId="5B849175"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45 </w:t>
            </w:r>
          </w:p>
        </w:tc>
        <w:tc>
          <w:tcPr>
            <w:tcW w:w="1120" w:type="dxa"/>
            <w:tcBorders>
              <w:top w:val="nil"/>
              <w:left w:val="nil"/>
              <w:bottom w:val="single" w:sz="4" w:space="0" w:color="auto"/>
              <w:right w:val="single" w:sz="4" w:space="0" w:color="auto"/>
            </w:tcBorders>
            <w:shd w:val="clear" w:color="auto" w:fill="auto"/>
            <w:noWrap/>
            <w:vAlign w:val="center"/>
            <w:hideMark/>
          </w:tcPr>
          <w:p w14:paraId="07CD2EF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18 </w:t>
            </w:r>
          </w:p>
        </w:tc>
      </w:tr>
      <w:tr w:rsidR="001D5B54" w:rsidRPr="001D5B54" w14:paraId="01AE7975"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CE41ED4"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AIS</w:t>
            </w:r>
          </w:p>
        </w:tc>
        <w:tc>
          <w:tcPr>
            <w:tcW w:w="1120" w:type="dxa"/>
            <w:tcBorders>
              <w:top w:val="nil"/>
              <w:left w:val="nil"/>
              <w:bottom w:val="single" w:sz="4" w:space="0" w:color="auto"/>
              <w:right w:val="single" w:sz="4" w:space="0" w:color="auto"/>
            </w:tcBorders>
            <w:shd w:val="clear" w:color="auto" w:fill="auto"/>
            <w:noWrap/>
            <w:vAlign w:val="center"/>
            <w:hideMark/>
          </w:tcPr>
          <w:p w14:paraId="667F7DE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294 </w:t>
            </w:r>
          </w:p>
        </w:tc>
        <w:tc>
          <w:tcPr>
            <w:tcW w:w="1120" w:type="dxa"/>
            <w:tcBorders>
              <w:top w:val="nil"/>
              <w:left w:val="nil"/>
              <w:bottom w:val="single" w:sz="4" w:space="0" w:color="auto"/>
              <w:right w:val="single" w:sz="4" w:space="0" w:color="auto"/>
            </w:tcBorders>
            <w:shd w:val="clear" w:color="auto" w:fill="auto"/>
            <w:noWrap/>
            <w:vAlign w:val="center"/>
            <w:hideMark/>
          </w:tcPr>
          <w:p w14:paraId="440D434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425 </w:t>
            </w:r>
          </w:p>
        </w:tc>
        <w:tc>
          <w:tcPr>
            <w:tcW w:w="1120" w:type="dxa"/>
            <w:tcBorders>
              <w:top w:val="nil"/>
              <w:left w:val="nil"/>
              <w:bottom w:val="single" w:sz="4" w:space="0" w:color="auto"/>
              <w:right w:val="single" w:sz="4" w:space="0" w:color="auto"/>
            </w:tcBorders>
            <w:shd w:val="clear" w:color="auto" w:fill="auto"/>
            <w:noWrap/>
            <w:vAlign w:val="center"/>
            <w:hideMark/>
          </w:tcPr>
          <w:p w14:paraId="4BDA13F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431 </w:t>
            </w:r>
          </w:p>
        </w:tc>
        <w:tc>
          <w:tcPr>
            <w:tcW w:w="1120" w:type="dxa"/>
            <w:tcBorders>
              <w:top w:val="nil"/>
              <w:left w:val="nil"/>
              <w:bottom w:val="single" w:sz="4" w:space="0" w:color="auto"/>
              <w:right w:val="single" w:sz="4" w:space="0" w:color="auto"/>
            </w:tcBorders>
            <w:shd w:val="clear" w:color="auto" w:fill="auto"/>
            <w:noWrap/>
            <w:vAlign w:val="center"/>
            <w:hideMark/>
          </w:tcPr>
          <w:p w14:paraId="083DC906"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465 </w:t>
            </w:r>
          </w:p>
        </w:tc>
        <w:tc>
          <w:tcPr>
            <w:tcW w:w="1120" w:type="dxa"/>
            <w:tcBorders>
              <w:top w:val="nil"/>
              <w:left w:val="nil"/>
              <w:bottom w:val="single" w:sz="4" w:space="0" w:color="auto"/>
              <w:right w:val="single" w:sz="4" w:space="0" w:color="auto"/>
            </w:tcBorders>
            <w:shd w:val="clear" w:color="auto" w:fill="auto"/>
            <w:noWrap/>
            <w:vAlign w:val="center"/>
            <w:hideMark/>
          </w:tcPr>
          <w:p w14:paraId="4555A52D"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366 </w:t>
            </w:r>
          </w:p>
        </w:tc>
      </w:tr>
      <w:tr w:rsidR="001D5B54" w:rsidRPr="001D5B54" w14:paraId="019DAAC7"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D762345"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BABS</w:t>
            </w:r>
          </w:p>
        </w:tc>
        <w:tc>
          <w:tcPr>
            <w:tcW w:w="1120" w:type="dxa"/>
            <w:tcBorders>
              <w:top w:val="nil"/>
              <w:left w:val="nil"/>
              <w:bottom w:val="single" w:sz="4" w:space="0" w:color="auto"/>
              <w:right w:val="single" w:sz="4" w:space="0" w:color="auto"/>
            </w:tcBorders>
            <w:shd w:val="clear" w:color="auto" w:fill="auto"/>
            <w:noWrap/>
            <w:vAlign w:val="center"/>
            <w:hideMark/>
          </w:tcPr>
          <w:p w14:paraId="5833D686" w14:textId="6E603F0A" w:rsidR="001D5B54" w:rsidRPr="001D5B54" w:rsidRDefault="001D5B54" w:rsidP="00AE64FF">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9</w:t>
            </w:r>
          </w:p>
        </w:tc>
        <w:tc>
          <w:tcPr>
            <w:tcW w:w="1120" w:type="dxa"/>
            <w:tcBorders>
              <w:top w:val="nil"/>
              <w:left w:val="nil"/>
              <w:bottom w:val="single" w:sz="4" w:space="0" w:color="auto"/>
              <w:right w:val="single" w:sz="4" w:space="0" w:color="auto"/>
            </w:tcBorders>
            <w:shd w:val="clear" w:color="auto" w:fill="auto"/>
            <w:noWrap/>
            <w:vAlign w:val="center"/>
            <w:hideMark/>
          </w:tcPr>
          <w:p w14:paraId="57B9B5F5"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12 </w:t>
            </w:r>
          </w:p>
        </w:tc>
        <w:tc>
          <w:tcPr>
            <w:tcW w:w="1120" w:type="dxa"/>
            <w:tcBorders>
              <w:top w:val="nil"/>
              <w:left w:val="nil"/>
              <w:bottom w:val="single" w:sz="4" w:space="0" w:color="auto"/>
              <w:right w:val="single" w:sz="4" w:space="0" w:color="auto"/>
            </w:tcBorders>
            <w:shd w:val="clear" w:color="auto" w:fill="auto"/>
            <w:noWrap/>
            <w:vAlign w:val="center"/>
            <w:hideMark/>
          </w:tcPr>
          <w:p w14:paraId="0A866BB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37 </w:t>
            </w:r>
          </w:p>
        </w:tc>
        <w:tc>
          <w:tcPr>
            <w:tcW w:w="1120" w:type="dxa"/>
            <w:tcBorders>
              <w:top w:val="nil"/>
              <w:left w:val="nil"/>
              <w:bottom w:val="single" w:sz="4" w:space="0" w:color="auto"/>
              <w:right w:val="single" w:sz="4" w:space="0" w:color="auto"/>
            </w:tcBorders>
            <w:shd w:val="clear" w:color="auto" w:fill="auto"/>
            <w:noWrap/>
            <w:vAlign w:val="center"/>
            <w:hideMark/>
          </w:tcPr>
          <w:p w14:paraId="61DE5085"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13 </w:t>
            </w:r>
          </w:p>
        </w:tc>
        <w:tc>
          <w:tcPr>
            <w:tcW w:w="1120" w:type="dxa"/>
            <w:tcBorders>
              <w:top w:val="nil"/>
              <w:left w:val="nil"/>
              <w:bottom w:val="single" w:sz="4" w:space="0" w:color="auto"/>
              <w:right w:val="single" w:sz="4" w:space="0" w:color="auto"/>
            </w:tcBorders>
            <w:shd w:val="clear" w:color="auto" w:fill="auto"/>
            <w:noWrap/>
            <w:vAlign w:val="center"/>
            <w:hideMark/>
          </w:tcPr>
          <w:p w14:paraId="28C3FBC0"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 18 </w:t>
            </w:r>
          </w:p>
        </w:tc>
      </w:tr>
      <w:tr w:rsidR="001D5B54" w:rsidRPr="001D5B54" w14:paraId="39A8D2BD"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8AD4659" w14:textId="77777777" w:rsidR="001D5B54" w:rsidRPr="001D5B54" w:rsidRDefault="001D5B54" w:rsidP="001D5B54">
            <w:pPr>
              <w:autoSpaceDE/>
              <w:autoSpaceDN/>
              <w:adjustRightInd/>
              <w:spacing w:after="0" w:line="240" w:lineRule="auto"/>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Sub-total</w:t>
            </w:r>
          </w:p>
        </w:tc>
        <w:tc>
          <w:tcPr>
            <w:tcW w:w="1120" w:type="dxa"/>
            <w:tcBorders>
              <w:top w:val="nil"/>
              <w:left w:val="nil"/>
              <w:bottom w:val="single" w:sz="4" w:space="0" w:color="auto"/>
              <w:right w:val="single" w:sz="4" w:space="0" w:color="auto"/>
            </w:tcBorders>
            <w:shd w:val="clear" w:color="auto" w:fill="auto"/>
            <w:noWrap/>
            <w:vAlign w:val="center"/>
            <w:hideMark/>
          </w:tcPr>
          <w:p w14:paraId="4A7084B2"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 368 </w:t>
            </w:r>
          </w:p>
        </w:tc>
        <w:tc>
          <w:tcPr>
            <w:tcW w:w="1120" w:type="dxa"/>
            <w:tcBorders>
              <w:top w:val="nil"/>
              <w:left w:val="nil"/>
              <w:bottom w:val="single" w:sz="4" w:space="0" w:color="auto"/>
              <w:right w:val="single" w:sz="4" w:space="0" w:color="auto"/>
            </w:tcBorders>
            <w:shd w:val="clear" w:color="auto" w:fill="auto"/>
            <w:noWrap/>
            <w:vAlign w:val="center"/>
            <w:hideMark/>
          </w:tcPr>
          <w:p w14:paraId="599F8721"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1 152 </w:t>
            </w:r>
          </w:p>
        </w:tc>
        <w:tc>
          <w:tcPr>
            <w:tcW w:w="1120" w:type="dxa"/>
            <w:tcBorders>
              <w:top w:val="nil"/>
              <w:left w:val="nil"/>
              <w:bottom w:val="single" w:sz="4" w:space="0" w:color="auto"/>
              <w:right w:val="single" w:sz="4" w:space="0" w:color="auto"/>
            </w:tcBorders>
            <w:shd w:val="clear" w:color="auto" w:fill="auto"/>
            <w:noWrap/>
            <w:vAlign w:val="center"/>
            <w:hideMark/>
          </w:tcPr>
          <w:p w14:paraId="580FD2B5"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 685 </w:t>
            </w:r>
          </w:p>
        </w:tc>
        <w:tc>
          <w:tcPr>
            <w:tcW w:w="1120" w:type="dxa"/>
            <w:tcBorders>
              <w:top w:val="nil"/>
              <w:left w:val="nil"/>
              <w:bottom w:val="single" w:sz="4" w:space="0" w:color="auto"/>
              <w:right w:val="single" w:sz="4" w:space="0" w:color="auto"/>
            </w:tcBorders>
            <w:shd w:val="clear" w:color="auto" w:fill="auto"/>
            <w:noWrap/>
            <w:vAlign w:val="center"/>
            <w:hideMark/>
          </w:tcPr>
          <w:p w14:paraId="72133BCC"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 673 </w:t>
            </w:r>
          </w:p>
        </w:tc>
        <w:tc>
          <w:tcPr>
            <w:tcW w:w="1120" w:type="dxa"/>
            <w:tcBorders>
              <w:top w:val="nil"/>
              <w:left w:val="nil"/>
              <w:bottom w:val="single" w:sz="4" w:space="0" w:color="auto"/>
              <w:right w:val="single" w:sz="4" w:space="0" w:color="auto"/>
            </w:tcBorders>
            <w:shd w:val="clear" w:color="auto" w:fill="auto"/>
            <w:noWrap/>
            <w:vAlign w:val="center"/>
            <w:hideMark/>
          </w:tcPr>
          <w:p w14:paraId="66E9FD57"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 505 </w:t>
            </w:r>
          </w:p>
        </w:tc>
      </w:tr>
      <w:tr w:rsidR="001D5B54" w:rsidRPr="001D5B54" w14:paraId="4804DE4C" w14:textId="77777777" w:rsidTr="004727E6">
        <w:trPr>
          <w:trHeight w:val="360"/>
        </w:trPr>
        <w:tc>
          <w:tcPr>
            <w:tcW w:w="2440" w:type="dxa"/>
            <w:tcBorders>
              <w:top w:val="nil"/>
              <w:left w:val="single" w:sz="4" w:space="0" w:color="auto"/>
              <w:bottom w:val="single" w:sz="4" w:space="0" w:color="auto"/>
              <w:right w:val="nil"/>
            </w:tcBorders>
            <w:shd w:val="clear" w:color="000000" w:fill="F2F2F2"/>
            <w:noWrap/>
            <w:vAlign w:val="center"/>
            <w:hideMark/>
          </w:tcPr>
          <w:p w14:paraId="1CA9783A"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Provinces</w:t>
            </w:r>
          </w:p>
        </w:tc>
        <w:tc>
          <w:tcPr>
            <w:tcW w:w="1120" w:type="dxa"/>
            <w:tcBorders>
              <w:top w:val="nil"/>
              <w:left w:val="nil"/>
              <w:bottom w:val="single" w:sz="4" w:space="0" w:color="auto"/>
              <w:right w:val="nil"/>
            </w:tcBorders>
            <w:shd w:val="clear" w:color="000000" w:fill="F2F2F2"/>
            <w:noWrap/>
            <w:vAlign w:val="center"/>
            <w:hideMark/>
          </w:tcPr>
          <w:p w14:paraId="2C75FB33"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nil"/>
              <w:left w:val="nil"/>
              <w:bottom w:val="single" w:sz="4" w:space="0" w:color="auto"/>
              <w:right w:val="nil"/>
            </w:tcBorders>
            <w:shd w:val="clear" w:color="000000" w:fill="F2F2F2"/>
            <w:noWrap/>
            <w:vAlign w:val="center"/>
            <w:hideMark/>
          </w:tcPr>
          <w:p w14:paraId="45329ADC"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nil"/>
              <w:left w:val="nil"/>
              <w:bottom w:val="single" w:sz="4" w:space="0" w:color="auto"/>
              <w:right w:val="nil"/>
            </w:tcBorders>
            <w:shd w:val="clear" w:color="000000" w:fill="F2F2F2"/>
            <w:noWrap/>
            <w:vAlign w:val="center"/>
            <w:hideMark/>
          </w:tcPr>
          <w:p w14:paraId="416BC0C4"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nil"/>
              <w:left w:val="nil"/>
              <w:bottom w:val="single" w:sz="4" w:space="0" w:color="auto"/>
              <w:right w:val="nil"/>
            </w:tcBorders>
            <w:shd w:val="clear" w:color="000000" w:fill="F2F2F2"/>
            <w:noWrap/>
            <w:vAlign w:val="center"/>
            <w:hideMark/>
          </w:tcPr>
          <w:p w14:paraId="5DCEE6AF"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c>
          <w:tcPr>
            <w:tcW w:w="1120" w:type="dxa"/>
            <w:tcBorders>
              <w:top w:val="nil"/>
              <w:left w:val="nil"/>
              <w:bottom w:val="single" w:sz="4" w:space="0" w:color="auto"/>
              <w:right w:val="nil"/>
            </w:tcBorders>
            <w:shd w:val="clear" w:color="000000" w:fill="F2F2F2"/>
            <w:noWrap/>
            <w:vAlign w:val="center"/>
            <w:hideMark/>
          </w:tcPr>
          <w:p w14:paraId="6574AC5A"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w:t>
            </w:r>
          </w:p>
        </w:tc>
      </w:tr>
      <w:tr w:rsidR="001D5B54" w:rsidRPr="001D5B54" w14:paraId="67394917"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DD0EF22"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Western Cape</w:t>
            </w:r>
          </w:p>
        </w:tc>
        <w:tc>
          <w:tcPr>
            <w:tcW w:w="1120" w:type="dxa"/>
            <w:tcBorders>
              <w:top w:val="nil"/>
              <w:left w:val="nil"/>
              <w:bottom w:val="single" w:sz="4" w:space="0" w:color="auto"/>
              <w:right w:val="single" w:sz="4" w:space="0" w:color="auto"/>
            </w:tcBorders>
            <w:shd w:val="clear" w:color="auto" w:fill="auto"/>
            <w:noWrap/>
            <w:vAlign w:val="center"/>
            <w:hideMark/>
          </w:tcPr>
          <w:p w14:paraId="5372F046"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78904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43243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4 886 </w:t>
            </w:r>
          </w:p>
        </w:tc>
        <w:tc>
          <w:tcPr>
            <w:tcW w:w="1120" w:type="dxa"/>
            <w:tcBorders>
              <w:top w:val="nil"/>
              <w:left w:val="nil"/>
              <w:bottom w:val="single" w:sz="4" w:space="0" w:color="auto"/>
              <w:right w:val="single" w:sz="4" w:space="0" w:color="auto"/>
            </w:tcBorders>
            <w:shd w:val="clear" w:color="auto" w:fill="auto"/>
            <w:noWrap/>
            <w:vAlign w:val="center"/>
            <w:hideMark/>
          </w:tcPr>
          <w:p w14:paraId="39D15614"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4 790 </w:t>
            </w:r>
          </w:p>
        </w:tc>
        <w:tc>
          <w:tcPr>
            <w:tcW w:w="1120" w:type="dxa"/>
            <w:tcBorders>
              <w:top w:val="nil"/>
              <w:left w:val="nil"/>
              <w:bottom w:val="single" w:sz="4" w:space="0" w:color="auto"/>
              <w:right w:val="single" w:sz="4" w:space="0" w:color="auto"/>
            </w:tcBorders>
            <w:shd w:val="clear" w:color="auto" w:fill="auto"/>
            <w:noWrap/>
            <w:vAlign w:val="center"/>
            <w:hideMark/>
          </w:tcPr>
          <w:p w14:paraId="2EE02006"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3 485 </w:t>
            </w:r>
          </w:p>
        </w:tc>
      </w:tr>
      <w:tr w:rsidR="001D5B54" w:rsidRPr="001D5B54" w14:paraId="1D09E659"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BB5D911"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Kwa-Zulu Natal</w:t>
            </w:r>
          </w:p>
        </w:tc>
        <w:tc>
          <w:tcPr>
            <w:tcW w:w="1120" w:type="dxa"/>
            <w:tcBorders>
              <w:top w:val="nil"/>
              <w:left w:val="nil"/>
              <w:bottom w:val="single" w:sz="4" w:space="0" w:color="auto"/>
              <w:right w:val="single" w:sz="4" w:space="0" w:color="auto"/>
            </w:tcBorders>
            <w:shd w:val="clear" w:color="auto" w:fill="auto"/>
            <w:noWrap/>
            <w:vAlign w:val="center"/>
            <w:hideMark/>
          </w:tcPr>
          <w:p w14:paraId="2A550F4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4 632 </w:t>
            </w:r>
          </w:p>
        </w:tc>
        <w:tc>
          <w:tcPr>
            <w:tcW w:w="1120" w:type="dxa"/>
            <w:tcBorders>
              <w:top w:val="nil"/>
              <w:left w:val="nil"/>
              <w:bottom w:val="single" w:sz="4" w:space="0" w:color="auto"/>
              <w:right w:val="single" w:sz="4" w:space="0" w:color="auto"/>
            </w:tcBorders>
            <w:shd w:val="clear" w:color="auto" w:fill="auto"/>
            <w:noWrap/>
            <w:vAlign w:val="center"/>
            <w:hideMark/>
          </w:tcPr>
          <w:p w14:paraId="1C3725A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4 606 </w:t>
            </w:r>
          </w:p>
        </w:tc>
        <w:tc>
          <w:tcPr>
            <w:tcW w:w="1120" w:type="dxa"/>
            <w:tcBorders>
              <w:top w:val="nil"/>
              <w:left w:val="nil"/>
              <w:bottom w:val="single" w:sz="4" w:space="0" w:color="auto"/>
              <w:right w:val="single" w:sz="4" w:space="0" w:color="auto"/>
            </w:tcBorders>
            <w:shd w:val="clear" w:color="auto" w:fill="auto"/>
            <w:noWrap/>
            <w:vAlign w:val="center"/>
            <w:hideMark/>
          </w:tcPr>
          <w:p w14:paraId="0AAC46DF"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4 669 </w:t>
            </w:r>
          </w:p>
        </w:tc>
        <w:tc>
          <w:tcPr>
            <w:tcW w:w="1120" w:type="dxa"/>
            <w:tcBorders>
              <w:top w:val="nil"/>
              <w:left w:val="nil"/>
              <w:bottom w:val="single" w:sz="4" w:space="0" w:color="auto"/>
              <w:right w:val="single" w:sz="4" w:space="0" w:color="auto"/>
            </w:tcBorders>
            <w:shd w:val="clear" w:color="auto" w:fill="auto"/>
            <w:noWrap/>
            <w:vAlign w:val="center"/>
            <w:hideMark/>
          </w:tcPr>
          <w:p w14:paraId="0E278C44"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4 115 </w:t>
            </w:r>
          </w:p>
        </w:tc>
        <w:tc>
          <w:tcPr>
            <w:tcW w:w="1120" w:type="dxa"/>
            <w:tcBorders>
              <w:top w:val="nil"/>
              <w:left w:val="nil"/>
              <w:bottom w:val="single" w:sz="4" w:space="0" w:color="auto"/>
              <w:right w:val="single" w:sz="4" w:space="0" w:color="auto"/>
            </w:tcBorders>
            <w:shd w:val="clear" w:color="auto" w:fill="auto"/>
            <w:noWrap/>
            <w:vAlign w:val="center"/>
            <w:hideMark/>
          </w:tcPr>
          <w:p w14:paraId="1E3CC979"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3 032 </w:t>
            </w:r>
          </w:p>
        </w:tc>
      </w:tr>
      <w:tr w:rsidR="001D5B54" w:rsidRPr="001D5B54" w14:paraId="6363C048"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FD6B16F"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Mpumalanga</w:t>
            </w:r>
          </w:p>
        </w:tc>
        <w:tc>
          <w:tcPr>
            <w:tcW w:w="1120" w:type="dxa"/>
            <w:tcBorders>
              <w:top w:val="nil"/>
              <w:left w:val="nil"/>
              <w:bottom w:val="single" w:sz="4" w:space="0" w:color="auto"/>
              <w:right w:val="single" w:sz="4" w:space="0" w:color="auto"/>
            </w:tcBorders>
            <w:shd w:val="clear" w:color="auto" w:fill="auto"/>
            <w:noWrap/>
            <w:vAlign w:val="center"/>
            <w:hideMark/>
          </w:tcPr>
          <w:p w14:paraId="0A61C5A5"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4 658 </w:t>
            </w:r>
          </w:p>
        </w:tc>
        <w:tc>
          <w:tcPr>
            <w:tcW w:w="1120" w:type="dxa"/>
            <w:tcBorders>
              <w:top w:val="nil"/>
              <w:left w:val="nil"/>
              <w:bottom w:val="single" w:sz="4" w:space="0" w:color="auto"/>
              <w:right w:val="single" w:sz="4" w:space="0" w:color="auto"/>
            </w:tcBorders>
            <w:shd w:val="clear" w:color="auto" w:fill="auto"/>
            <w:noWrap/>
            <w:vAlign w:val="center"/>
            <w:hideMark/>
          </w:tcPr>
          <w:p w14:paraId="63E8080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4 349 </w:t>
            </w:r>
          </w:p>
        </w:tc>
        <w:tc>
          <w:tcPr>
            <w:tcW w:w="1120" w:type="dxa"/>
            <w:tcBorders>
              <w:top w:val="nil"/>
              <w:left w:val="nil"/>
              <w:bottom w:val="single" w:sz="4" w:space="0" w:color="auto"/>
              <w:right w:val="single" w:sz="4" w:space="0" w:color="auto"/>
            </w:tcBorders>
            <w:shd w:val="clear" w:color="auto" w:fill="auto"/>
            <w:noWrap/>
            <w:vAlign w:val="center"/>
            <w:hideMark/>
          </w:tcPr>
          <w:p w14:paraId="57880FFD"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4 179 </w:t>
            </w:r>
          </w:p>
        </w:tc>
        <w:tc>
          <w:tcPr>
            <w:tcW w:w="1120" w:type="dxa"/>
            <w:tcBorders>
              <w:top w:val="nil"/>
              <w:left w:val="nil"/>
              <w:bottom w:val="single" w:sz="4" w:space="0" w:color="auto"/>
              <w:right w:val="single" w:sz="4" w:space="0" w:color="auto"/>
            </w:tcBorders>
            <w:shd w:val="clear" w:color="auto" w:fill="auto"/>
            <w:noWrap/>
            <w:vAlign w:val="center"/>
            <w:hideMark/>
          </w:tcPr>
          <w:p w14:paraId="19DA3FE5"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5 088 </w:t>
            </w:r>
          </w:p>
        </w:tc>
        <w:tc>
          <w:tcPr>
            <w:tcW w:w="1120" w:type="dxa"/>
            <w:tcBorders>
              <w:top w:val="nil"/>
              <w:left w:val="nil"/>
              <w:bottom w:val="single" w:sz="4" w:space="0" w:color="auto"/>
              <w:right w:val="single" w:sz="4" w:space="0" w:color="auto"/>
            </w:tcBorders>
            <w:shd w:val="clear" w:color="auto" w:fill="auto"/>
            <w:noWrap/>
            <w:vAlign w:val="center"/>
            <w:hideMark/>
          </w:tcPr>
          <w:p w14:paraId="64D1E5A4"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4 986 </w:t>
            </w:r>
          </w:p>
        </w:tc>
      </w:tr>
      <w:tr w:rsidR="001D5B54" w:rsidRPr="001D5B54" w14:paraId="1F2C826E"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4D48617"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Northern Cape</w:t>
            </w:r>
          </w:p>
        </w:tc>
        <w:tc>
          <w:tcPr>
            <w:tcW w:w="1120" w:type="dxa"/>
            <w:tcBorders>
              <w:top w:val="nil"/>
              <w:left w:val="nil"/>
              <w:bottom w:val="single" w:sz="4" w:space="0" w:color="auto"/>
              <w:right w:val="single" w:sz="4" w:space="0" w:color="auto"/>
            </w:tcBorders>
            <w:shd w:val="clear" w:color="auto" w:fill="auto"/>
            <w:noWrap/>
            <w:vAlign w:val="center"/>
            <w:hideMark/>
          </w:tcPr>
          <w:p w14:paraId="6828E47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2 993 </w:t>
            </w:r>
          </w:p>
        </w:tc>
        <w:tc>
          <w:tcPr>
            <w:tcW w:w="1120" w:type="dxa"/>
            <w:tcBorders>
              <w:top w:val="nil"/>
              <w:left w:val="nil"/>
              <w:bottom w:val="single" w:sz="4" w:space="0" w:color="auto"/>
              <w:right w:val="single" w:sz="4" w:space="0" w:color="auto"/>
            </w:tcBorders>
            <w:shd w:val="clear" w:color="auto" w:fill="auto"/>
            <w:noWrap/>
            <w:vAlign w:val="center"/>
            <w:hideMark/>
          </w:tcPr>
          <w:p w14:paraId="03D1875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2 731 </w:t>
            </w:r>
          </w:p>
        </w:tc>
        <w:tc>
          <w:tcPr>
            <w:tcW w:w="1120" w:type="dxa"/>
            <w:tcBorders>
              <w:top w:val="nil"/>
              <w:left w:val="nil"/>
              <w:bottom w:val="single" w:sz="4" w:space="0" w:color="auto"/>
              <w:right w:val="single" w:sz="4" w:space="0" w:color="auto"/>
            </w:tcBorders>
            <w:shd w:val="clear" w:color="auto" w:fill="auto"/>
            <w:noWrap/>
            <w:vAlign w:val="center"/>
            <w:hideMark/>
          </w:tcPr>
          <w:p w14:paraId="1841F3D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2 348 </w:t>
            </w:r>
          </w:p>
        </w:tc>
        <w:tc>
          <w:tcPr>
            <w:tcW w:w="1120" w:type="dxa"/>
            <w:tcBorders>
              <w:top w:val="nil"/>
              <w:left w:val="nil"/>
              <w:bottom w:val="single" w:sz="4" w:space="0" w:color="auto"/>
              <w:right w:val="single" w:sz="4" w:space="0" w:color="auto"/>
            </w:tcBorders>
            <w:shd w:val="clear" w:color="auto" w:fill="auto"/>
            <w:noWrap/>
            <w:vAlign w:val="center"/>
            <w:hideMark/>
          </w:tcPr>
          <w:p w14:paraId="353453C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1 958 </w:t>
            </w:r>
          </w:p>
        </w:tc>
        <w:tc>
          <w:tcPr>
            <w:tcW w:w="1120" w:type="dxa"/>
            <w:tcBorders>
              <w:top w:val="nil"/>
              <w:left w:val="nil"/>
              <w:bottom w:val="single" w:sz="4" w:space="0" w:color="auto"/>
              <w:right w:val="single" w:sz="4" w:space="0" w:color="auto"/>
            </w:tcBorders>
            <w:shd w:val="clear" w:color="auto" w:fill="auto"/>
            <w:noWrap/>
            <w:vAlign w:val="center"/>
            <w:hideMark/>
          </w:tcPr>
          <w:p w14:paraId="337EB683"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1 847 </w:t>
            </w:r>
          </w:p>
        </w:tc>
      </w:tr>
      <w:tr w:rsidR="001D5B54" w:rsidRPr="001D5B54" w14:paraId="7D255608"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9946A57"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Eastern Cape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DC03DCF" w14:textId="78D80BF5" w:rsidR="001D5B54" w:rsidRPr="001D5B54" w:rsidRDefault="004E7021" w:rsidP="001D5B54">
            <w:pPr>
              <w:autoSpaceDE/>
              <w:autoSpaceDN/>
              <w:adjustRightInd/>
              <w:spacing w:after="0" w:line="240" w:lineRule="auto"/>
              <w:jc w:val="right"/>
              <w:rPr>
                <w:rFonts w:ascii="Arial" w:hAnsi="Arial" w:cs="Arial"/>
                <w:color w:val="000000"/>
                <w:sz w:val="18"/>
                <w:szCs w:val="18"/>
                <w:lang w:val="en-ZA" w:eastAsia="en-ZA" w:bidi="ar-SA"/>
              </w:rPr>
            </w:pPr>
            <w:r w:rsidRPr="004E7021">
              <w:rPr>
                <w:rFonts w:ascii="Arial" w:hAnsi="Arial" w:cs="Arial"/>
                <w:color w:val="000000"/>
                <w:sz w:val="18"/>
                <w:szCs w:val="18"/>
                <w:lang w:val="en-ZA" w:eastAsia="en-ZA" w:bidi="ar-SA"/>
              </w:rPr>
              <w:t>10 858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FFC7F" w14:textId="3561E498" w:rsidR="001D5B54" w:rsidRPr="004E7021" w:rsidRDefault="004E7021" w:rsidP="001D5B54">
            <w:pPr>
              <w:autoSpaceDE/>
              <w:autoSpaceDN/>
              <w:adjustRightInd/>
              <w:spacing w:after="0" w:line="240" w:lineRule="auto"/>
              <w:jc w:val="right"/>
              <w:rPr>
                <w:rFonts w:ascii="Arial" w:hAnsi="Arial" w:cs="Arial"/>
                <w:color w:val="000000"/>
                <w:sz w:val="18"/>
                <w:szCs w:val="18"/>
                <w:lang w:val="en-ZA" w:eastAsia="en-ZA" w:bidi="ar-SA"/>
              </w:rPr>
            </w:pPr>
            <w:r w:rsidRPr="004E7021">
              <w:rPr>
                <w:rFonts w:ascii="Arial" w:hAnsi="Arial" w:cs="Arial"/>
                <w:color w:val="000000"/>
                <w:sz w:val="18"/>
                <w:szCs w:val="18"/>
                <w:lang w:val="en-ZA" w:eastAsia="en-ZA" w:bidi="ar-SA"/>
              </w:rPr>
              <w:t>9 519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8D39" w14:textId="77777777" w:rsidR="001D5B54" w:rsidRPr="001D5B54" w:rsidRDefault="001D5B54" w:rsidP="001D5B54">
            <w:pPr>
              <w:autoSpaceDE/>
              <w:autoSpaceDN/>
              <w:adjustRightInd/>
              <w:spacing w:after="0" w:line="240" w:lineRule="auto"/>
              <w:jc w:val="right"/>
              <w:rPr>
                <w:rFonts w:ascii="Arial" w:hAnsi="Arial" w:cs="Arial"/>
                <w:sz w:val="18"/>
                <w:szCs w:val="18"/>
                <w:lang w:val="en-ZA" w:eastAsia="en-ZA" w:bidi="ar-SA"/>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48B90" w14:textId="77777777" w:rsidR="001D5B54" w:rsidRPr="001D5B54" w:rsidRDefault="001D5B54" w:rsidP="001D5B54">
            <w:pPr>
              <w:autoSpaceDE/>
              <w:autoSpaceDN/>
              <w:adjustRightInd/>
              <w:spacing w:after="0" w:line="240" w:lineRule="auto"/>
              <w:jc w:val="right"/>
              <w:rPr>
                <w:rFonts w:ascii="Arial" w:hAnsi="Arial" w:cs="Arial"/>
                <w:sz w:val="18"/>
                <w:szCs w:val="18"/>
                <w:lang w:val="en-ZA" w:eastAsia="en-ZA" w:bidi="ar-SA"/>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AF492" w14:textId="77777777" w:rsidR="001D5B54" w:rsidRPr="001D5B54" w:rsidRDefault="001D5B54" w:rsidP="001D5B54">
            <w:pPr>
              <w:autoSpaceDE/>
              <w:autoSpaceDN/>
              <w:adjustRightInd/>
              <w:spacing w:after="0" w:line="240" w:lineRule="auto"/>
              <w:jc w:val="right"/>
              <w:rPr>
                <w:rFonts w:ascii="Arial" w:hAnsi="Arial" w:cs="Arial"/>
                <w:sz w:val="18"/>
                <w:szCs w:val="18"/>
                <w:lang w:val="en-ZA" w:eastAsia="en-ZA" w:bidi="ar-SA"/>
              </w:rPr>
            </w:pPr>
          </w:p>
        </w:tc>
      </w:tr>
      <w:tr w:rsidR="001D5B54" w:rsidRPr="001D5B54" w14:paraId="068EAFF1"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C627EAC"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Gauteng</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A25970"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10 598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44DE61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11 273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B8005D9"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14 410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96D305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12 988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CE489FF"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12 139 </w:t>
            </w:r>
          </w:p>
        </w:tc>
      </w:tr>
      <w:tr w:rsidR="001D5B54" w:rsidRPr="001D5B54" w14:paraId="58DAEBF0"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B005BC9"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Free State</w:t>
            </w:r>
          </w:p>
        </w:tc>
        <w:tc>
          <w:tcPr>
            <w:tcW w:w="1120" w:type="dxa"/>
            <w:tcBorders>
              <w:top w:val="nil"/>
              <w:left w:val="nil"/>
              <w:bottom w:val="single" w:sz="4" w:space="0" w:color="auto"/>
              <w:right w:val="single" w:sz="4" w:space="0" w:color="auto"/>
            </w:tcBorders>
            <w:shd w:val="clear" w:color="auto" w:fill="auto"/>
            <w:noWrap/>
            <w:vAlign w:val="center"/>
            <w:hideMark/>
          </w:tcPr>
          <w:p w14:paraId="47CE0071"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44F3C166"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3 197 </w:t>
            </w:r>
          </w:p>
        </w:tc>
        <w:tc>
          <w:tcPr>
            <w:tcW w:w="1120" w:type="dxa"/>
            <w:tcBorders>
              <w:top w:val="nil"/>
              <w:left w:val="nil"/>
              <w:bottom w:val="single" w:sz="4" w:space="0" w:color="auto"/>
              <w:right w:val="single" w:sz="4" w:space="0" w:color="auto"/>
            </w:tcBorders>
            <w:shd w:val="clear" w:color="auto" w:fill="auto"/>
            <w:noWrap/>
            <w:vAlign w:val="center"/>
            <w:hideMark/>
          </w:tcPr>
          <w:p w14:paraId="564F316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2 660 </w:t>
            </w:r>
          </w:p>
        </w:tc>
        <w:tc>
          <w:tcPr>
            <w:tcW w:w="1120" w:type="dxa"/>
            <w:tcBorders>
              <w:top w:val="nil"/>
              <w:left w:val="nil"/>
              <w:bottom w:val="single" w:sz="4" w:space="0" w:color="auto"/>
              <w:right w:val="single" w:sz="4" w:space="0" w:color="auto"/>
            </w:tcBorders>
            <w:shd w:val="clear" w:color="auto" w:fill="auto"/>
            <w:noWrap/>
            <w:vAlign w:val="center"/>
            <w:hideMark/>
          </w:tcPr>
          <w:p w14:paraId="37283ED3"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1 764 </w:t>
            </w:r>
          </w:p>
        </w:tc>
        <w:tc>
          <w:tcPr>
            <w:tcW w:w="1120" w:type="dxa"/>
            <w:tcBorders>
              <w:top w:val="nil"/>
              <w:left w:val="nil"/>
              <w:bottom w:val="single" w:sz="4" w:space="0" w:color="auto"/>
              <w:right w:val="single" w:sz="4" w:space="0" w:color="auto"/>
            </w:tcBorders>
            <w:shd w:val="clear" w:color="auto" w:fill="auto"/>
            <w:noWrap/>
            <w:vAlign w:val="center"/>
            <w:hideMark/>
          </w:tcPr>
          <w:p w14:paraId="1DFEF3C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3 273 </w:t>
            </w:r>
          </w:p>
        </w:tc>
      </w:tr>
      <w:tr w:rsidR="001D5B54" w:rsidRPr="001D5B54" w14:paraId="12128452"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19A3D70"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proofErr w:type="gramStart"/>
            <w:r w:rsidRPr="001D5B54">
              <w:rPr>
                <w:rFonts w:ascii="Arial" w:hAnsi="Arial" w:cs="Arial"/>
                <w:color w:val="000000"/>
                <w:sz w:val="18"/>
                <w:szCs w:val="18"/>
                <w:lang w:val="en-ZA" w:eastAsia="en-ZA" w:bidi="ar-SA"/>
              </w:rPr>
              <w:lastRenderedPageBreak/>
              <w:t>North West</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14:paraId="7533D710"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60CE77CC"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D6B808"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3 366 </w:t>
            </w:r>
          </w:p>
        </w:tc>
        <w:tc>
          <w:tcPr>
            <w:tcW w:w="1120" w:type="dxa"/>
            <w:tcBorders>
              <w:top w:val="nil"/>
              <w:left w:val="nil"/>
              <w:bottom w:val="single" w:sz="4" w:space="0" w:color="auto"/>
              <w:right w:val="single" w:sz="4" w:space="0" w:color="auto"/>
            </w:tcBorders>
            <w:shd w:val="clear" w:color="auto" w:fill="auto"/>
            <w:noWrap/>
            <w:vAlign w:val="center"/>
            <w:hideMark/>
          </w:tcPr>
          <w:p w14:paraId="275EEC77"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5 592 </w:t>
            </w:r>
          </w:p>
        </w:tc>
        <w:tc>
          <w:tcPr>
            <w:tcW w:w="1120" w:type="dxa"/>
            <w:tcBorders>
              <w:top w:val="nil"/>
              <w:left w:val="nil"/>
              <w:bottom w:val="single" w:sz="4" w:space="0" w:color="auto"/>
              <w:right w:val="single" w:sz="4" w:space="0" w:color="auto"/>
            </w:tcBorders>
            <w:shd w:val="clear" w:color="auto" w:fill="auto"/>
            <w:noWrap/>
            <w:vAlign w:val="center"/>
            <w:hideMark/>
          </w:tcPr>
          <w:p w14:paraId="7FA257E2"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7 123 </w:t>
            </w:r>
          </w:p>
        </w:tc>
      </w:tr>
      <w:tr w:rsidR="001D5B54" w:rsidRPr="001D5B54" w14:paraId="4B4EAD8C"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B6B0425" w14:textId="77777777" w:rsidR="001D5B54" w:rsidRPr="001D5B54" w:rsidRDefault="001D5B54" w:rsidP="001D5B54">
            <w:pPr>
              <w:autoSpaceDE/>
              <w:autoSpaceDN/>
              <w:adjustRightInd/>
              <w:spacing w:after="0" w:line="240" w:lineRule="auto"/>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Limpopo</w:t>
            </w:r>
          </w:p>
        </w:tc>
        <w:tc>
          <w:tcPr>
            <w:tcW w:w="1120" w:type="dxa"/>
            <w:tcBorders>
              <w:top w:val="nil"/>
              <w:left w:val="nil"/>
              <w:bottom w:val="single" w:sz="4" w:space="0" w:color="auto"/>
              <w:right w:val="single" w:sz="4" w:space="0" w:color="auto"/>
            </w:tcBorders>
            <w:shd w:val="clear" w:color="auto" w:fill="auto"/>
            <w:noWrap/>
            <w:vAlign w:val="center"/>
            <w:hideMark/>
          </w:tcPr>
          <w:p w14:paraId="038AEECA"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13 821 </w:t>
            </w:r>
          </w:p>
        </w:tc>
        <w:tc>
          <w:tcPr>
            <w:tcW w:w="1120" w:type="dxa"/>
            <w:tcBorders>
              <w:top w:val="nil"/>
              <w:left w:val="nil"/>
              <w:bottom w:val="single" w:sz="4" w:space="0" w:color="auto"/>
              <w:right w:val="single" w:sz="4" w:space="0" w:color="auto"/>
            </w:tcBorders>
            <w:shd w:val="clear" w:color="auto" w:fill="auto"/>
            <w:noWrap/>
            <w:vAlign w:val="center"/>
            <w:hideMark/>
          </w:tcPr>
          <w:p w14:paraId="03F76BDE"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12 745 </w:t>
            </w:r>
          </w:p>
        </w:tc>
        <w:tc>
          <w:tcPr>
            <w:tcW w:w="1120" w:type="dxa"/>
            <w:tcBorders>
              <w:top w:val="nil"/>
              <w:left w:val="nil"/>
              <w:bottom w:val="single" w:sz="4" w:space="0" w:color="auto"/>
              <w:right w:val="single" w:sz="4" w:space="0" w:color="auto"/>
            </w:tcBorders>
            <w:shd w:val="clear" w:color="auto" w:fill="auto"/>
            <w:noWrap/>
            <w:vAlign w:val="center"/>
            <w:hideMark/>
          </w:tcPr>
          <w:p w14:paraId="45F1C4C4"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13 108 </w:t>
            </w:r>
          </w:p>
        </w:tc>
        <w:tc>
          <w:tcPr>
            <w:tcW w:w="1120" w:type="dxa"/>
            <w:tcBorders>
              <w:top w:val="nil"/>
              <w:left w:val="nil"/>
              <w:bottom w:val="single" w:sz="4" w:space="0" w:color="auto"/>
              <w:right w:val="single" w:sz="4" w:space="0" w:color="auto"/>
            </w:tcBorders>
            <w:shd w:val="clear" w:color="auto" w:fill="auto"/>
            <w:noWrap/>
            <w:vAlign w:val="center"/>
            <w:hideMark/>
          </w:tcPr>
          <w:p w14:paraId="671677FB"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11 000 </w:t>
            </w:r>
          </w:p>
        </w:tc>
        <w:tc>
          <w:tcPr>
            <w:tcW w:w="1120" w:type="dxa"/>
            <w:tcBorders>
              <w:top w:val="nil"/>
              <w:left w:val="nil"/>
              <w:bottom w:val="single" w:sz="4" w:space="0" w:color="auto"/>
              <w:right w:val="single" w:sz="4" w:space="0" w:color="auto"/>
            </w:tcBorders>
            <w:shd w:val="clear" w:color="auto" w:fill="auto"/>
            <w:noWrap/>
            <w:vAlign w:val="center"/>
            <w:hideMark/>
          </w:tcPr>
          <w:p w14:paraId="6405BDC9" w14:textId="77777777" w:rsidR="001D5B54" w:rsidRPr="001D5B54" w:rsidRDefault="001D5B54" w:rsidP="001D5B54">
            <w:pPr>
              <w:autoSpaceDE/>
              <w:autoSpaceDN/>
              <w:adjustRightInd/>
              <w:spacing w:after="0" w:line="240" w:lineRule="auto"/>
              <w:jc w:val="right"/>
              <w:rPr>
                <w:rFonts w:ascii="Arial" w:hAnsi="Arial" w:cs="Arial"/>
                <w:color w:val="000000"/>
                <w:sz w:val="18"/>
                <w:szCs w:val="18"/>
                <w:lang w:val="en-ZA" w:eastAsia="en-ZA" w:bidi="ar-SA"/>
              </w:rPr>
            </w:pPr>
            <w:r w:rsidRPr="001D5B54">
              <w:rPr>
                <w:rFonts w:ascii="Arial" w:hAnsi="Arial" w:cs="Arial"/>
                <w:color w:val="000000"/>
                <w:sz w:val="18"/>
                <w:szCs w:val="18"/>
                <w:lang w:val="en-ZA" w:eastAsia="en-ZA" w:bidi="ar-SA"/>
              </w:rPr>
              <w:t xml:space="preserve">7 080 </w:t>
            </w:r>
          </w:p>
        </w:tc>
      </w:tr>
      <w:tr w:rsidR="001D5B54" w:rsidRPr="001D5B54" w14:paraId="212A225A" w14:textId="77777777" w:rsidTr="004727E6">
        <w:trPr>
          <w:trHeight w:val="2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464B26C" w14:textId="77777777" w:rsidR="001D5B54" w:rsidRPr="001D5B54" w:rsidRDefault="001D5B54" w:rsidP="001D5B54">
            <w:pPr>
              <w:autoSpaceDE/>
              <w:autoSpaceDN/>
              <w:adjustRightInd/>
              <w:spacing w:after="0" w:line="240" w:lineRule="auto"/>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Sub-total</w:t>
            </w:r>
          </w:p>
        </w:tc>
        <w:tc>
          <w:tcPr>
            <w:tcW w:w="1120" w:type="dxa"/>
            <w:tcBorders>
              <w:top w:val="nil"/>
              <w:left w:val="nil"/>
              <w:bottom w:val="single" w:sz="4" w:space="0" w:color="auto"/>
              <w:right w:val="single" w:sz="4" w:space="0" w:color="auto"/>
            </w:tcBorders>
            <w:shd w:val="clear" w:color="auto" w:fill="auto"/>
            <w:noWrap/>
            <w:vAlign w:val="center"/>
            <w:hideMark/>
          </w:tcPr>
          <w:p w14:paraId="461D958D"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36 702 </w:t>
            </w:r>
          </w:p>
        </w:tc>
        <w:tc>
          <w:tcPr>
            <w:tcW w:w="1120" w:type="dxa"/>
            <w:tcBorders>
              <w:top w:val="nil"/>
              <w:left w:val="nil"/>
              <w:bottom w:val="single" w:sz="4" w:space="0" w:color="auto"/>
              <w:right w:val="single" w:sz="4" w:space="0" w:color="auto"/>
            </w:tcBorders>
            <w:shd w:val="clear" w:color="auto" w:fill="auto"/>
            <w:noWrap/>
            <w:vAlign w:val="center"/>
            <w:hideMark/>
          </w:tcPr>
          <w:p w14:paraId="77FF2487"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38 901 </w:t>
            </w:r>
          </w:p>
        </w:tc>
        <w:tc>
          <w:tcPr>
            <w:tcW w:w="1120" w:type="dxa"/>
            <w:tcBorders>
              <w:top w:val="nil"/>
              <w:left w:val="nil"/>
              <w:bottom w:val="single" w:sz="4" w:space="0" w:color="auto"/>
              <w:right w:val="single" w:sz="4" w:space="0" w:color="auto"/>
            </w:tcBorders>
            <w:shd w:val="clear" w:color="auto" w:fill="auto"/>
            <w:noWrap/>
            <w:vAlign w:val="center"/>
            <w:hideMark/>
          </w:tcPr>
          <w:p w14:paraId="122934E0"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49 626 </w:t>
            </w:r>
          </w:p>
        </w:tc>
        <w:tc>
          <w:tcPr>
            <w:tcW w:w="1120" w:type="dxa"/>
            <w:tcBorders>
              <w:top w:val="nil"/>
              <w:left w:val="nil"/>
              <w:bottom w:val="single" w:sz="4" w:space="0" w:color="auto"/>
              <w:right w:val="single" w:sz="4" w:space="0" w:color="auto"/>
            </w:tcBorders>
            <w:shd w:val="clear" w:color="auto" w:fill="auto"/>
            <w:noWrap/>
            <w:vAlign w:val="center"/>
            <w:hideMark/>
          </w:tcPr>
          <w:p w14:paraId="51DE2328"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47 295 </w:t>
            </w:r>
          </w:p>
        </w:tc>
        <w:tc>
          <w:tcPr>
            <w:tcW w:w="1120" w:type="dxa"/>
            <w:tcBorders>
              <w:top w:val="nil"/>
              <w:left w:val="nil"/>
              <w:bottom w:val="single" w:sz="4" w:space="0" w:color="auto"/>
              <w:right w:val="single" w:sz="4" w:space="0" w:color="auto"/>
            </w:tcBorders>
            <w:shd w:val="clear" w:color="auto" w:fill="auto"/>
            <w:noWrap/>
            <w:vAlign w:val="center"/>
            <w:hideMark/>
          </w:tcPr>
          <w:p w14:paraId="51F78EB2" w14:textId="77777777" w:rsidR="001D5B54" w:rsidRPr="001D5B54" w:rsidRDefault="001D5B54" w:rsidP="001D5B54">
            <w:pPr>
              <w:autoSpaceDE/>
              <w:autoSpaceDN/>
              <w:adjustRightInd/>
              <w:spacing w:after="0" w:line="240" w:lineRule="auto"/>
              <w:jc w:val="right"/>
              <w:rPr>
                <w:rFonts w:ascii="Arial" w:hAnsi="Arial" w:cs="Arial"/>
                <w:b/>
                <w:bCs/>
                <w:i/>
                <w:iCs/>
                <w:color w:val="000000"/>
                <w:sz w:val="18"/>
                <w:szCs w:val="18"/>
                <w:lang w:val="en-ZA" w:eastAsia="en-ZA" w:bidi="ar-SA"/>
              </w:rPr>
            </w:pPr>
            <w:r w:rsidRPr="001D5B54">
              <w:rPr>
                <w:rFonts w:ascii="Arial" w:hAnsi="Arial" w:cs="Arial"/>
                <w:b/>
                <w:bCs/>
                <w:i/>
                <w:iCs/>
                <w:color w:val="000000"/>
                <w:sz w:val="18"/>
                <w:szCs w:val="18"/>
                <w:lang w:val="en-ZA" w:eastAsia="en-ZA" w:bidi="ar-SA"/>
              </w:rPr>
              <w:t xml:space="preserve">42 965 </w:t>
            </w:r>
          </w:p>
        </w:tc>
      </w:tr>
      <w:tr w:rsidR="001D5B54" w:rsidRPr="001D5B54" w14:paraId="47BD6CE1" w14:textId="77777777" w:rsidTr="004727E6">
        <w:trPr>
          <w:trHeight w:val="34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8748872" w14:textId="77777777" w:rsidR="001D5B54" w:rsidRPr="001D5B54" w:rsidRDefault="001D5B54" w:rsidP="001D5B54">
            <w:pPr>
              <w:autoSpaceDE/>
              <w:autoSpaceDN/>
              <w:adjustRightInd/>
              <w:spacing w:after="0" w:line="240" w:lineRule="auto"/>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Total (</w:t>
            </w:r>
            <w:proofErr w:type="spellStart"/>
            <w:r w:rsidRPr="001D5B54">
              <w:rPr>
                <w:rFonts w:ascii="Arial" w:hAnsi="Arial" w:cs="Arial"/>
                <w:b/>
                <w:bCs/>
                <w:color w:val="000000"/>
                <w:sz w:val="18"/>
                <w:szCs w:val="18"/>
                <w:lang w:val="en-ZA" w:eastAsia="en-ZA" w:bidi="ar-SA"/>
              </w:rPr>
              <w:t>nat</w:t>
            </w:r>
            <w:proofErr w:type="spellEnd"/>
            <w:r w:rsidRPr="001D5B54">
              <w:rPr>
                <w:rFonts w:ascii="Arial" w:hAnsi="Arial" w:cs="Arial"/>
                <w:b/>
                <w:bCs/>
                <w:color w:val="000000"/>
                <w:sz w:val="18"/>
                <w:szCs w:val="18"/>
                <w:lang w:val="en-ZA" w:eastAsia="en-ZA" w:bidi="ar-SA"/>
              </w:rPr>
              <w:t xml:space="preserve"> &amp; </w:t>
            </w:r>
            <w:proofErr w:type="spellStart"/>
            <w:r w:rsidRPr="001D5B54">
              <w:rPr>
                <w:rFonts w:ascii="Arial" w:hAnsi="Arial" w:cs="Arial"/>
                <w:b/>
                <w:bCs/>
                <w:color w:val="000000"/>
                <w:sz w:val="18"/>
                <w:szCs w:val="18"/>
                <w:lang w:val="en-ZA" w:eastAsia="en-ZA" w:bidi="ar-SA"/>
              </w:rPr>
              <w:t>prov</w:t>
            </w:r>
            <w:proofErr w:type="spellEnd"/>
            <w:r w:rsidRPr="001D5B54">
              <w:rPr>
                <w:rFonts w:ascii="Arial" w:hAnsi="Arial" w:cs="Arial"/>
                <w:b/>
                <w:bCs/>
                <w:color w:val="000000"/>
                <w:sz w:val="18"/>
                <w:szCs w:val="18"/>
                <w:lang w:val="en-ZA" w:eastAsia="en-ZA" w:bidi="ar-SA"/>
              </w:rPr>
              <w:t>)</w:t>
            </w:r>
          </w:p>
        </w:tc>
        <w:tc>
          <w:tcPr>
            <w:tcW w:w="1120" w:type="dxa"/>
            <w:tcBorders>
              <w:top w:val="nil"/>
              <w:left w:val="nil"/>
              <w:bottom w:val="single" w:sz="4" w:space="0" w:color="auto"/>
              <w:right w:val="single" w:sz="4" w:space="0" w:color="auto"/>
            </w:tcBorders>
            <w:shd w:val="clear" w:color="auto" w:fill="auto"/>
            <w:noWrap/>
            <w:vAlign w:val="center"/>
            <w:hideMark/>
          </w:tcPr>
          <w:p w14:paraId="59A36EA1"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xml:space="preserve">37 070 </w:t>
            </w:r>
          </w:p>
        </w:tc>
        <w:tc>
          <w:tcPr>
            <w:tcW w:w="1120" w:type="dxa"/>
            <w:tcBorders>
              <w:top w:val="nil"/>
              <w:left w:val="nil"/>
              <w:bottom w:val="single" w:sz="4" w:space="0" w:color="auto"/>
              <w:right w:val="single" w:sz="4" w:space="0" w:color="auto"/>
            </w:tcBorders>
            <w:shd w:val="clear" w:color="auto" w:fill="auto"/>
            <w:noWrap/>
            <w:vAlign w:val="center"/>
            <w:hideMark/>
          </w:tcPr>
          <w:p w14:paraId="6DD801EF"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xml:space="preserve">40 053 </w:t>
            </w:r>
          </w:p>
        </w:tc>
        <w:tc>
          <w:tcPr>
            <w:tcW w:w="1120" w:type="dxa"/>
            <w:tcBorders>
              <w:top w:val="nil"/>
              <w:left w:val="nil"/>
              <w:bottom w:val="single" w:sz="4" w:space="0" w:color="auto"/>
              <w:right w:val="single" w:sz="4" w:space="0" w:color="auto"/>
            </w:tcBorders>
            <w:shd w:val="clear" w:color="auto" w:fill="auto"/>
            <w:noWrap/>
            <w:vAlign w:val="center"/>
            <w:hideMark/>
          </w:tcPr>
          <w:p w14:paraId="12CF19CD"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xml:space="preserve">50 311 </w:t>
            </w:r>
          </w:p>
        </w:tc>
        <w:tc>
          <w:tcPr>
            <w:tcW w:w="1120" w:type="dxa"/>
            <w:tcBorders>
              <w:top w:val="nil"/>
              <w:left w:val="nil"/>
              <w:bottom w:val="single" w:sz="4" w:space="0" w:color="auto"/>
              <w:right w:val="single" w:sz="4" w:space="0" w:color="auto"/>
            </w:tcBorders>
            <w:shd w:val="clear" w:color="auto" w:fill="auto"/>
            <w:noWrap/>
            <w:vAlign w:val="center"/>
            <w:hideMark/>
          </w:tcPr>
          <w:p w14:paraId="2E1D7736"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xml:space="preserve">47 968 </w:t>
            </w:r>
          </w:p>
        </w:tc>
        <w:tc>
          <w:tcPr>
            <w:tcW w:w="1120" w:type="dxa"/>
            <w:tcBorders>
              <w:top w:val="nil"/>
              <w:left w:val="nil"/>
              <w:bottom w:val="single" w:sz="4" w:space="0" w:color="auto"/>
              <w:right w:val="single" w:sz="4" w:space="0" w:color="auto"/>
            </w:tcBorders>
            <w:shd w:val="clear" w:color="auto" w:fill="auto"/>
            <w:noWrap/>
            <w:vAlign w:val="center"/>
            <w:hideMark/>
          </w:tcPr>
          <w:p w14:paraId="3B730CC3" w14:textId="77777777" w:rsidR="001D5B54" w:rsidRPr="001D5B54" w:rsidRDefault="001D5B54" w:rsidP="001D5B54">
            <w:pPr>
              <w:autoSpaceDE/>
              <w:autoSpaceDN/>
              <w:adjustRightInd/>
              <w:spacing w:after="0" w:line="240" w:lineRule="auto"/>
              <w:jc w:val="right"/>
              <w:rPr>
                <w:rFonts w:ascii="Arial" w:hAnsi="Arial" w:cs="Arial"/>
                <w:b/>
                <w:bCs/>
                <w:color w:val="000000"/>
                <w:sz w:val="18"/>
                <w:szCs w:val="18"/>
                <w:lang w:val="en-ZA" w:eastAsia="en-ZA" w:bidi="ar-SA"/>
              </w:rPr>
            </w:pPr>
            <w:r w:rsidRPr="001D5B54">
              <w:rPr>
                <w:rFonts w:ascii="Arial" w:hAnsi="Arial" w:cs="Arial"/>
                <w:b/>
                <w:bCs/>
                <w:color w:val="000000"/>
                <w:sz w:val="18"/>
                <w:szCs w:val="18"/>
                <w:lang w:val="en-ZA" w:eastAsia="en-ZA" w:bidi="ar-SA"/>
              </w:rPr>
              <w:t xml:space="preserve">43 470 </w:t>
            </w:r>
          </w:p>
        </w:tc>
      </w:tr>
    </w:tbl>
    <w:p w14:paraId="4906DDFD" w14:textId="77777777" w:rsidR="001D5B54" w:rsidRDefault="001D5B54" w:rsidP="001D5B54">
      <w:pPr>
        <w:autoSpaceDE/>
        <w:autoSpaceDN/>
        <w:adjustRightInd/>
        <w:spacing w:after="0" w:line="240" w:lineRule="auto"/>
        <w:jc w:val="both"/>
        <w:rPr>
          <w:rFonts w:ascii="Calibri" w:hAnsi="Calibri" w:cs="Times New Roman"/>
          <w:szCs w:val="20"/>
          <w:lang w:val="en-ZA" w:eastAsia="en-GB" w:bidi="ar-SA"/>
        </w:rPr>
      </w:pPr>
    </w:p>
    <w:p w14:paraId="37EF6294" w14:textId="0D54DA0F" w:rsidR="008F37E0" w:rsidRDefault="00544CE1" w:rsidP="008F37E0">
      <w:pPr>
        <w:pStyle w:val="BodyText"/>
        <w:rPr>
          <w:lang w:val="en-ZA" w:eastAsia="en-GB" w:bidi="ar-SA"/>
        </w:rPr>
      </w:pPr>
      <w:r>
        <w:rPr>
          <w:lang w:val="en-ZA" w:eastAsia="en-GB" w:bidi="ar-SA"/>
        </w:rPr>
        <w:t>R</w:t>
      </w:r>
      <w:r w:rsidR="00D537F5" w:rsidRPr="00D537F5">
        <w:rPr>
          <w:lang w:val="en-ZA" w:eastAsia="en-GB" w:bidi="ar-SA"/>
        </w:rPr>
        <w:t xml:space="preserve">evenues from permit and licence fees are </w:t>
      </w:r>
      <w:r w:rsidRPr="00784C1E">
        <w:rPr>
          <w:lang w:val="en-ZA" w:eastAsia="en-GB" w:bidi="ar-SA"/>
        </w:rPr>
        <w:t>contrasted with budget allocations</w:t>
      </w:r>
      <w:r w:rsidR="0076029C" w:rsidRPr="00784C1E">
        <w:rPr>
          <w:lang w:val="en-ZA" w:eastAsia="en-GB" w:bidi="ar-SA"/>
        </w:rPr>
        <w:t xml:space="preserve"> to licencing and permitting units or divisions </w:t>
      </w:r>
      <w:r w:rsidR="00F7336E" w:rsidRPr="00784C1E">
        <w:rPr>
          <w:lang w:val="en-ZA" w:eastAsia="en-GB" w:bidi="ar-SA"/>
        </w:rPr>
        <w:t>within</w:t>
      </w:r>
      <w:r w:rsidRPr="00784C1E">
        <w:rPr>
          <w:lang w:val="en-ZA" w:eastAsia="en-GB" w:bidi="ar-SA"/>
        </w:rPr>
        <w:t xml:space="preserve"> issuing authorities in </w:t>
      </w:r>
      <w:r w:rsidR="001D20CF" w:rsidRPr="00784C1E">
        <w:rPr>
          <w:sz w:val="20"/>
          <w:szCs w:val="20"/>
          <w:lang w:val="en-ZA" w:eastAsia="en-GB" w:bidi="ar-SA"/>
        </w:rPr>
        <w:fldChar w:fldCharType="begin"/>
      </w:r>
      <w:r w:rsidR="001D20CF" w:rsidRPr="00784C1E">
        <w:rPr>
          <w:sz w:val="20"/>
          <w:szCs w:val="20"/>
          <w:lang w:val="en-ZA" w:eastAsia="en-GB" w:bidi="ar-SA"/>
        </w:rPr>
        <w:instrText xml:space="preserve"> REF _Ref99550388 </w:instrText>
      </w:r>
      <w:r w:rsidR="00784C1E" w:rsidRPr="00784C1E">
        <w:rPr>
          <w:sz w:val="20"/>
          <w:szCs w:val="20"/>
          <w:lang w:val="en-ZA" w:eastAsia="en-GB" w:bidi="ar-SA"/>
        </w:rPr>
        <w:instrText xml:space="preserve"> \* MERGEFORMAT </w:instrText>
      </w:r>
      <w:r w:rsidR="001D20CF" w:rsidRPr="00784C1E">
        <w:rPr>
          <w:sz w:val="20"/>
          <w:szCs w:val="20"/>
          <w:lang w:val="en-ZA" w:eastAsia="en-GB" w:bidi="ar-SA"/>
        </w:rPr>
        <w:fldChar w:fldCharType="separate"/>
      </w:r>
      <w:r w:rsidR="004F713D" w:rsidRPr="00784C1E">
        <w:rPr>
          <w:sz w:val="20"/>
          <w:szCs w:val="20"/>
        </w:rPr>
        <w:t xml:space="preserve">Figure </w:t>
      </w:r>
      <w:r w:rsidR="004F713D" w:rsidRPr="00784C1E">
        <w:rPr>
          <w:noProof/>
          <w:sz w:val="20"/>
          <w:szCs w:val="20"/>
        </w:rPr>
        <w:t>2</w:t>
      </w:r>
      <w:r w:rsidR="004F713D" w:rsidRPr="00784C1E">
        <w:rPr>
          <w:sz w:val="20"/>
          <w:szCs w:val="20"/>
        </w:rPr>
        <w:t>.</w:t>
      </w:r>
      <w:r w:rsidR="004F713D" w:rsidRPr="00784C1E">
        <w:rPr>
          <w:noProof/>
          <w:sz w:val="20"/>
          <w:szCs w:val="20"/>
        </w:rPr>
        <w:t>1</w:t>
      </w:r>
      <w:r w:rsidR="001D20CF" w:rsidRPr="00784C1E">
        <w:rPr>
          <w:sz w:val="20"/>
          <w:szCs w:val="20"/>
          <w:lang w:val="en-ZA" w:eastAsia="en-GB" w:bidi="ar-SA"/>
        </w:rPr>
        <w:fldChar w:fldCharType="end"/>
      </w:r>
      <w:r w:rsidR="00C5270C">
        <w:rPr>
          <w:sz w:val="20"/>
          <w:szCs w:val="20"/>
          <w:lang w:val="en-ZA" w:eastAsia="en-GB" w:bidi="ar-SA"/>
        </w:rPr>
        <w:t>.</w:t>
      </w:r>
      <w:r w:rsidR="00444081" w:rsidRPr="00784C1E">
        <w:rPr>
          <w:rStyle w:val="FootnoteReference"/>
          <w:rFonts w:ascii="Calibri" w:hAnsi="Calibri" w:cs="Times New Roman"/>
          <w:lang w:val="en-ZA" w:eastAsia="en-GB" w:bidi="ar-SA"/>
        </w:rPr>
        <w:footnoteReference w:id="3"/>
      </w:r>
      <w:r w:rsidR="00334206" w:rsidRPr="00784C1E">
        <w:rPr>
          <w:lang w:val="en-ZA" w:eastAsia="en-GB" w:bidi="ar-SA"/>
        </w:rPr>
        <w:t xml:space="preserve"> </w:t>
      </w:r>
      <w:r w:rsidR="00F73210" w:rsidRPr="00784C1E">
        <w:rPr>
          <w:lang w:val="en-ZA" w:eastAsia="en-GB" w:bidi="ar-SA"/>
        </w:rPr>
        <w:t xml:space="preserve">At the national level, budget allocations to </w:t>
      </w:r>
      <w:r w:rsidR="00C94B29" w:rsidRPr="00784C1E">
        <w:rPr>
          <w:lang w:val="en-ZA" w:eastAsia="en-GB" w:bidi="ar-SA"/>
        </w:rPr>
        <w:t>permitting and licen</w:t>
      </w:r>
      <w:r w:rsidR="00702EA0">
        <w:rPr>
          <w:lang w:val="en-ZA" w:eastAsia="en-GB" w:bidi="ar-SA"/>
        </w:rPr>
        <w:t>s</w:t>
      </w:r>
      <w:r w:rsidR="00C94B29" w:rsidRPr="00784C1E">
        <w:rPr>
          <w:lang w:val="en-ZA" w:eastAsia="en-GB" w:bidi="ar-SA"/>
        </w:rPr>
        <w:t xml:space="preserve">ing functions have increased from R5.4 million in 2017/18 to </w:t>
      </w:r>
      <w:r w:rsidR="00124AB7">
        <w:rPr>
          <w:lang w:val="en-ZA" w:eastAsia="en-GB" w:bidi="ar-SA"/>
        </w:rPr>
        <w:t>R</w:t>
      </w:r>
      <w:r w:rsidR="00AD4529" w:rsidRPr="00784C1E">
        <w:rPr>
          <w:lang w:val="en-ZA" w:eastAsia="en-GB" w:bidi="ar-SA"/>
        </w:rPr>
        <w:t xml:space="preserve">13 million in 2019/20. </w:t>
      </w:r>
      <w:r w:rsidR="003D0FA8" w:rsidRPr="00784C1E">
        <w:rPr>
          <w:lang w:val="en-ZA" w:eastAsia="en-GB" w:bidi="ar-SA"/>
        </w:rPr>
        <w:t>Co</w:t>
      </w:r>
      <w:r w:rsidR="008B137E" w:rsidRPr="00784C1E">
        <w:rPr>
          <w:lang w:val="en-ZA" w:eastAsia="en-GB" w:bidi="ar-SA"/>
        </w:rPr>
        <w:t>nversely,</w:t>
      </w:r>
      <w:r w:rsidR="003D0FA8" w:rsidRPr="00784C1E">
        <w:rPr>
          <w:lang w:val="en-ZA" w:eastAsia="en-GB" w:bidi="ar-SA"/>
        </w:rPr>
        <w:t xml:space="preserve"> </w:t>
      </w:r>
      <w:r w:rsidR="00C57AD7" w:rsidRPr="00784C1E">
        <w:rPr>
          <w:lang w:val="en-ZA" w:eastAsia="en-GB" w:bidi="ar-SA"/>
        </w:rPr>
        <w:t xml:space="preserve">the </w:t>
      </w:r>
      <w:r w:rsidR="008B137E" w:rsidRPr="00784C1E">
        <w:rPr>
          <w:lang w:val="en-ZA" w:eastAsia="en-GB" w:bidi="ar-SA"/>
        </w:rPr>
        <w:t xml:space="preserve">sum of </w:t>
      </w:r>
      <w:r w:rsidR="003D0FA8" w:rsidRPr="00784C1E">
        <w:rPr>
          <w:lang w:val="en-ZA" w:eastAsia="en-GB" w:bidi="ar-SA"/>
        </w:rPr>
        <w:t>provincial budgets</w:t>
      </w:r>
      <w:r w:rsidR="00C57AD7">
        <w:rPr>
          <w:lang w:val="en-ZA" w:eastAsia="en-GB" w:bidi="ar-SA"/>
        </w:rPr>
        <w:t xml:space="preserve"> </w:t>
      </w:r>
      <w:r w:rsidR="008B137E">
        <w:rPr>
          <w:lang w:val="en-ZA" w:eastAsia="en-GB" w:bidi="ar-SA"/>
        </w:rPr>
        <w:t>has</w:t>
      </w:r>
      <w:r w:rsidR="003D0FA8">
        <w:rPr>
          <w:lang w:val="en-ZA" w:eastAsia="en-GB" w:bidi="ar-SA"/>
        </w:rPr>
        <w:t xml:space="preserve"> decreased</w:t>
      </w:r>
      <w:r w:rsidR="00C57AD7">
        <w:rPr>
          <w:lang w:val="en-ZA" w:eastAsia="en-GB" w:bidi="ar-SA"/>
        </w:rPr>
        <w:t xml:space="preserve"> from </w:t>
      </w:r>
      <w:r w:rsidR="00124AB7">
        <w:rPr>
          <w:lang w:val="en-ZA" w:eastAsia="en-GB" w:bidi="ar-SA"/>
        </w:rPr>
        <w:t>R</w:t>
      </w:r>
      <w:r w:rsidR="008938F1">
        <w:rPr>
          <w:lang w:val="en-ZA" w:eastAsia="en-GB" w:bidi="ar-SA"/>
        </w:rPr>
        <w:t xml:space="preserve">73 million in 2017/18 to </w:t>
      </w:r>
      <w:r w:rsidR="00124AB7">
        <w:rPr>
          <w:lang w:val="en-ZA" w:eastAsia="en-GB" w:bidi="ar-SA"/>
        </w:rPr>
        <w:t>R</w:t>
      </w:r>
      <w:r w:rsidR="008938F1">
        <w:rPr>
          <w:lang w:val="en-ZA" w:eastAsia="en-GB" w:bidi="ar-SA"/>
        </w:rPr>
        <w:t xml:space="preserve">61 million in 2019/20. </w:t>
      </w:r>
      <w:r w:rsidR="00D537F5" w:rsidRPr="00D537F5">
        <w:rPr>
          <w:lang w:val="en-ZA" w:eastAsia="en-GB" w:bidi="ar-SA"/>
        </w:rPr>
        <w:t xml:space="preserve">For 2018/19, </w:t>
      </w:r>
      <w:r w:rsidR="00483563" w:rsidRPr="00406D14">
        <w:rPr>
          <w:lang w:val="en-ZA" w:eastAsia="en-GB" w:bidi="ar-SA"/>
        </w:rPr>
        <w:t xml:space="preserve">total </w:t>
      </w:r>
      <w:r w:rsidR="00015B9A" w:rsidRPr="00406D14">
        <w:rPr>
          <w:lang w:val="en-ZA" w:eastAsia="en-GB" w:bidi="ar-SA"/>
        </w:rPr>
        <w:t>revenues</w:t>
      </w:r>
      <w:r w:rsidR="00AB2A58" w:rsidRPr="00406D14">
        <w:rPr>
          <w:lang w:val="en-ZA" w:eastAsia="en-GB" w:bidi="ar-SA"/>
        </w:rPr>
        <w:t xml:space="preserve"> </w:t>
      </w:r>
      <w:r w:rsidR="00D537F5" w:rsidRPr="00D537F5">
        <w:rPr>
          <w:lang w:val="en-ZA" w:eastAsia="en-GB" w:bidi="ar-SA"/>
        </w:rPr>
        <w:t>amounted t</w:t>
      </w:r>
      <w:r w:rsidR="00E175FA" w:rsidRPr="00406D14">
        <w:rPr>
          <w:lang w:val="en-ZA" w:eastAsia="en-GB" w:bidi="ar-SA"/>
        </w:rPr>
        <w:t xml:space="preserve">o </w:t>
      </w:r>
      <w:r w:rsidR="00D537F5" w:rsidRPr="00D537F5">
        <w:rPr>
          <w:lang w:val="en-ZA" w:eastAsia="en-GB" w:bidi="ar-SA"/>
        </w:rPr>
        <w:t>R16 million</w:t>
      </w:r>
      <w:r w:rsidR="00E175FA" w:rsidRPr="00406D14">
        <w:rPr>
          <w:lang w:val="en-ZA" w:eastAsia="en-GB" w:bidi="ar-SA"/>
        </w:rPr>
        <w:t xml:space="preserve"> (</w:t>
      </w:r>
      <w:r w:rsidR="00E175FA" w:rsidRPr="00D537F5">
        <w:rPr>
          <w:lang w:val="en-ZA" w:eastAsia="en-GB" w:bidi="ar-SA"/>
        </w:rPr>
        <w:t xml:space="preserve">85–90% of </w:t>
      </w:r>
      <w:r w:rsidR="00E175FA" w:rsidRPr="00406D14">
        <w:rPr>
          <w:lang w:val="en-ZA" w:eastAsia="en-GB" w:bidi="ar-SA"/>
        </w:rPr>
        <w:t>which were</w:t>
      </w:r>
      <w:r w:rsidR="00E175FA" w:rsidRPr="00D537F5">
        <w:rPr>
          <w:lang w:val="en-ZA" w:eastAsia="en-GB" w:bidi="ar-SA"/>
        </w:rPr>
        <w:t xml:space="preserve"> generated </w:t>
      </w:r>
      <w:r w:rsidR="00E175FA" w:rsidRPr="00406D14">
        <w:rPr>
          <w:lang w:val="en-ZA" w:eastAsia="en-GB" w:bidi="ar-SA"/>
        </w:rPr>
        <w:t xml:space="preserve">by the </w:t>
      </w:r>
      <w:r w:rsidR="00E175FA" w:rsidRPr="00D537F5">
        <w:rPr>
          <w:lang w:val="en-ZA" w:eastAsia="en-GB" w:bidi="ar-SA"/>
        </w:rPr>
        <w:t>provincial issuing authorities</w:t>
      </w:r>
      <w:r w:rsidR="00E175FA" w:rsidRPr="00406D14">
        <w:rPr>
          <w:lang w:val="en-ZA" w:eastAsia="en-GB" w:bidi="ar-SA"/>
        </w:rPr>
        <w:t>)</w:t>
      </w:r>
      <w:r w:rsidR="0083476C">
        <w:rPr>
          <w:lang w:val="en-ZA" w:eastAsia="en-GB" w:bidi="ar-SA"/>
        </w:rPr>
        <w:t xml:space="preserve"> and </w:t>
      </w:r>
      <w:r w:rsidR="002951DE">
        <w:rPr>
          <w:lang w:val="en-ZA" w:eastAsia="en-GB" w:bidi="ar-SA"/>
        </w:rPr>
        <w:t xml:space="preserve">decreased </w:t>
      </w:r>
      <w:r w:rsidR="00156454">
        <w:rPr>
          <w:lang w:val="en-ZA" w:eastAsia="en-GB" w:bidi="ar-SA"/>
        </w:rPr>
        <w:t xml:space="preserve">to </w:t>
      </w:r>
      <w:r w:rsidR="004E31FD">
        <w:rPr>
          <w:lang w:val="en-ZA" w:eastAsia="en-GB" w:bidi="ar-SA"/>
        </w:rPr>
        <w:t>R13 million in 2019/20.</w:t>
      </w:r>
    </w:p>
    <w:p w14:paraId="6D1C80B5" w14:textId="480439A3" w:rsidR="00CC12F8" w:rsidRDefault="0072107A" w:rsidP="008F37E0">
      <w:pPr>
        <w:pStyle w:val="BodyText"/>
        <w:rPr>
          <w:lang w:val="en-ZA" w:eastAsia="en-GB" w:bidi="ar-SA"/>
        </w:rPr>
      </w:pPr>
      <w:r>
        <w:rPr>
          <w:noProof/>
          <w:lang w:val="en-ZA" w:eastAsia="en-GB" w:bidi="ar-SA"/>
        </w:rPr>
        <w:drawing>
          <wp:inline distT="0" distB="0" distL="0" distR="0" wp14:anchorId="64B222BB" wp14:editId="41AEDFE6">
            <wp:extent cx="5775960" cy="299082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16" cy="2993754"/>
                    </a:xfrm>
                    <a:prstGeom prst="rect">
                      <a:avLst/>
                    </a:prstGeom>
                    <a:noFill/>
                  </pic:spPr>
                </pic:pic>
              </a:graphicData>
            </a:graphic>
          </wp:inline>
        </w:drawing>
      </w:r>
    </w:p>
    <w:p w14:paraId="60A941D6" w14:textId="733C6F3B" w:rsidR="001D20CF" w:rsidRDefault="001D20CF" w:rsidP="00BE5D6A">
      <w:pPr>
        <w:pStyle w:val="Caption"/>
      </w:pPr>
      <w:bookmarkStart w:id="17" w:name="_Ref99550388"/>
      <w:r>
        <w:t xml:space="preserve">Figure </w:t>
      </w:r>
      <w:r w:rsidR="00064C92">
        <w:fldChar w:fldCharType="begin"/>
      </w:r>
      <w:r w:rsidR="00064C92" w:rsidRPr="00D537F5">
        <w:rPr>
          <w:rFonts w:ascii="Calibri" w:hAnsi="Calibri" w:cs="Times New Roman"/>
          <w:bCs w:val="0"/>
          <w:color w:val="2F5496"/>
          <w:sz w:val="20"/>
          <w:szCs w:val="20"/>
          <w:lang w:val="en-ZA" w:bidi="ar-SA"/>
        </w:rPr>
        <w:instrText xml:space="preserve"> STYLEREF 1 \s </w:instrText>
      </w:r>
      <w:r w:rsidR="00064C92">
        <w:fldChar w:fldCharType="separate"/>
      </w:r>
      <w:r w:rsidR="004F713D">
        <w:rPr>
          <w:noProof/>
        </w:rPr>
        <w:t>2</w:t>
      </w:r>
      <w:r w:rsidR="00064C92">
        <w:fldChar w:fldCharType="end"/>
      </w:r>
      <w:r>
        <w:t>.</w:t>
      </w:r>
      <w:r w:rsidR="00294997">
        <w:fldChar w:fldCharType="begin"/>
      </w:r>
      <w:r w:rsidR="00294997">
        <w:instrText xml:space="preserve"> SEQ Figure \* ARABIC \s 1 </w:instrText>
      </w:r>
      <w:r w:rsidR="00294997">
        <w:fldChar w:fldCharType="separate"/>
      </w:r>
      <w:r w:rsidR="004F713D">
        <w:rPr>
          <w:noProof/>
        </w:rPr>
        <w:t>1</w:t>
      </w:r>
      <w:r w:rsidR="00294997">
        <w:rPr>
          <w:noProof/>
        </w:rPr>
        <w:fldChar w:fldCharType="end"/>
      </w:r>
      <w:bookmarkEnd w:id="17"/>
      <w:r w:rsidR="00FC2C9B">
        <w:t xml:space="preserve"> </w:t>
      </w:r>
      <w:r w:rsidR="00685E3F">
        <w:t xml:space="preserve">Revenues from permits and </w:t>
      </w:r>
      <w:proofErr w:type="spellStart"/>
      <w:r w:rsidR="00685E3F">
        <w:t>licences</w:t>
      </w:r>
      <w:proofErr w:type="spellEnd"/>
      <w:r w:rsidR="00685E3F">
        <w:t xml:space="preserve"> as a proportion of </w:t>
      </w:r>
      <w:r w:rsidR="00E97D22">
        <w:t>budget allocations to the permits and licen</w:t>
      </w:r>
      <w:r w:rsidR="00950CD7">
        <w:t>s</w:t>
      </w:r>
      <w:r w:rsidR="00E97D22">
        <w:t>ing functions</w:t>
      </w:r>
    </w:p>
    <w:p w14:paraId="5703AC41" w14:textId="77777777" w:rsidR="0045669A" w:rsidRPr="0045669A" w:rsidRDefault="0045669A" w:rsidP="0045669A">
      <w:pPr>
        <w:pStyle w:val="NoSpacing"/>
      </w:pPr>
    </w:p>
    <w:p w14:paraId="31C1C1D9" w14:textId="6713EE6D" w:rsidR="000C16D2" w:rsidRDefault="000C16D2" w:rsidP="000C16D2">
      <w:pPr>
        <w:pStyle w:val="BodyText"/>
        <w:rPr>
          <w:lang w:val="en-ZA" w:eastAsia="en-GB" w:bidi="ar-SA"/>
        </w:rPr>
      </w:pPr>
      <w:r w:rsidRPr="00406D14">
        <w:rPr>
          <w:lang w:val="en-ZA" w:eastAsia="en-GB" w:bidi="ar-SA"/>
        </w:rPr>
        <w:t xml:space="preserve">Notwithstanding data constraints, </w:t>
      </w:r>
      <w:proofErr w:type="gramStart"/>
      <w:r w:rsidRPr="00406D14">
        <w:rPr>
          <w:lang w:val="en-ZA" w:eastAsia="en-GB" w:bidi="ar-SA"/>
        </w:rPr>
        <w:t>it is clear that the</w:t>
      </w:r>
      <w:proofErr w:type="gramEnd"/>
      <w:r w:rsidRPr="00406D14">
        <w:rPr>
          <w:lang w:val="en-ZA" w:eastAsia="en-GB" w:bidi="ar-SA"/>
        </w:rPr>
        <w:t xml:space="preserve"> costs of administering the entire national and provincial permits and licences system are orders of magnitude higher than fee revenues from permits and licences. </w:t>
      </w:r>
      <w:r w:rsidR="00D529B5">
        <w:rPr>
          <w:lang w:val="en-ZA" w:eastAsia="en-GB" w:bidi="ar-SA"/>
        </w:rPr>
        <w:t xml:space="preserve">When </w:t>
      </w:r>
      <w:r w:rsidR="00D439B4">
        <w:rPr>
          <w:lang w:val="en-ZA" w:eastAsia="en-GB" w:bidi="ar-SA"/>
        </w:rPr>
        <w:t>using reasonable assumption</w:t>
      </w:r>
      <w:r w:rsidR="00D040BF">
        <w:rPr>
          <w:lang w:val="en-ZA" w:eastAsia="en-GB" w:bidi="ar-SA"/>
        </w:rPr>
        <w:t>s</w:t>
      </w:r>
      <w:r w:rsidR="00D439B4">
        <w:rPr>
          <w:lang w:val="en-ZA" w:eastAsia="en-GB" w:bidi="ar-SA"/>
        </w:rPr>
        <w:t xml:space="preserve"> </w:t>
      </w:r>
      <w:r w:rsidR="008F2AFD">
        <w:rPr>
          <w:lang w:val="en-ZA" w:eastAsia="en-GB" w:bidi="ar-SA"/>
        </w:rPr>
        <w:t xml:space="preserve">in response to data constraints, total </w:t>
      </w:r>
      <w:r w:rsidR="006C1322">
        <w:rPr>
          <w:lang w:val="en-ZA" w:eastAsia="en-GB" w:bidi="ar-SA"/>
        </w:rPr>
        <w:t>national and provincial r</w:t>
      </w:r>
      <w:r w:rsidRPr="00406D14">
        <w:rPr>
          <w:lang w:val="en-ZA" w:eastAsia="en-GB" w:bidi="ar-SA"/>
        </w:rPr>
        <w:t>evenue from permits and licence fees tend to be between 1</w:t>
      </w:r>
      <w:r w:rsidR="001B4AB8">
        <w:rPr>
          <w:lang w:val="en-ZA" w:eastAsia="en-GB" w:bidi="ar-SA"/>
        </w:rPr>
        <w:t>2</w:t>
      </w:r>
      <w:r w:rsidRPr="00406D14">
        <w:rPr>
          <w:lang w:val="en-ZA" w:eastAsia="en-GB" w:bidi="ar-SA"/>
        </w:rPr>
        <w:t xml:space="preserve">% and </w:t>
      </w:r>
      <w:r w:rsidR="001B4AB8">
        <w:rPr>
          <w:lang w:val="en-ZA" w:eastAsia="en-GB" w:bidi="ar-SA"/>
        </w:rPr>
        <w:t>1</w:t>
      </w:r>
      <w:r w:rsidR="00C163AE">
        <w:rPr>
          <w:lang w:val="en-ZA" w:eastAsia="en-GB" w:bidi="ar-SA"/>
        </w:rPr>
        <w:t>8</w:t>
      </w:r>
      <w:r w:rsidRPr="00406D14">
        <w:rPr>
          <w:lang w:val="en-ZA" w:eastAsia="en-GB" w:bidi="ar-SA"/>
        </w:rPr>
        <w:t xml:space="preserve">% of budgets allocated to issuing authorities. Among the provinces, the </w:t>
      </w:r>
      <w:r w:rsidRPr="00406D14">
        <w:rPr>
          <w:lang w:val="en-ZA" w:eastAsia="en-GB" w:bidi="ar-SA"/>
        </w:rPr>
        <w:lastRenderedPageBreak/>
        <w:t xml:space="preserve">Western Cape is the only province where fee revenues exceed budget allocations for permitting and licencing functions by a slight margin. </w:t>
      </w:r>
    </w:p>
    <w:p w14:paraId="4969D53B" w14:textId="3008D8D0" w:rsidR="00E55669" w:rsidRPr="00083F1F" w:rsidRDefault="00E55669" w:rsidP="00E55669">
      <w:pPr>
        <w:pStyle w:val="BodyText"/>
        <w:rPr>
          <w:lang w:val="en-ZA"/>
        </w:rPr>
      </w:pPr>
      <w:r>
        <w:rPr>
          <w:lang w:val="en-ZA" w:bidi="ar-SA"/>
        </w:rPr>
        <w:t xml:space="preserve">Revenue retention for use in biodiversity management is partial. Only the provincial issuing authorities of the Western Cape, KZN and Mpumalanga </w:t>
      </w:r>
      <w:proofErr w:type="gramStart"/>
      <w:r>
        <w:rPr>
          <w:lang w:val="en-ZA" w:bidi="ar-SA"/>
        </w:rPr>
        <w:t>are able to</w:t>
      </w:r>
      <w:proofErr w:type="gramEnd"/>
      <w:r>
        <w:rPr>
          <w:lang w:val="en-ZA" w:bidi="ar-SA"/>
        </w:rPr>
        <w:t xml:space="preserve"> retain revenue from fees by virtue of their status as parastatal ‘Boards.’ </w:t>
      </w:r>
      <w:r w:rsidR="00C81495">
        <w:rPr>
          <w:lang w:val="en-ZA" w:bidi="ar-SA"/>
        </w:rPr>
        <w:t xml:space="preserve">This </w:t>
      </w:r>
      <w:r w:rsidR="00731978">
        <w:rPr>
          <w:lang w:val="en-ZA" w:bidi="ar-SA"/>
        </w:rPr>
        <w:t>should provide</w:t>
      </w:r>
      <w:r w:rsidR="00C81495">
        <w:rPr>
          <w:lang w:val="en-ZA" w:bidi="ar-SA"/>
        </w:rPr>
        <w:t xml:space="preserve"> an advantage in </w:t>
      </w:r>
      <w:r w:rsidR="0052384D">
        <w:rPr>
          <w:lang w:val="en-ZA" w:bidi="ar-SA"/>
        </w:rPr>
        <w:t>fee setting</w:t>
      </w:r>
      <w:r w:rsidR="00C81495">
        <w:rPr>
          <w:lang w:val="en-ZA" w:bidi="ar-SA"/>
        </w:rPr>
        <w:t xml:space="preserve"> as applicants (customers) are generally more supportive of permit fee increases if they know that their fees will be retained for the provision of permitting services. </w:t>
      </w:r>
      <w:r>
        <w:rPr>
          <w:lang w:val="en-ZA" w:bidi="ar-SA"/>
        </w:rPr>
        <w:t xml:space="preserve">The other provincial and national issuing authorities are not able to retain revenue </w:t>
      </w:r>
      <w:r w:rsidR="001D2FDB">
        <w:rPr>
          <w:lang w:val="en-ZA" w:bidi="ar-SA"/>
        </w:rPr>
        <w:t xml:space="preserve">as it </w:t>
      </w:r>
      <w:r>
        <w:rPr>
          <w:lang w:val="en-ZA" w:bidi="ar-SA"/>
        </w:rPr>
        <w:t>flows to the general fiscus.</w:t>
      </w:r>
      <w:r w:rsidR="007402BD">
        <w:rPr>
          <w:lang w:val="en-ZA" w:bidi="ar-SA"/>
        </w:rPr>
        <w:t xml:space="preserve"> </w:t>
      </w:r>
    </w:p>
    <w:p w14:paraId="3A8B9910" w14:textId="741B6689" w:rsidR="005D1613" w:rsidRDefault="001B55FD" w:rsidP="00666B3C">
      <w:pPr>
        <w:pStyle w:val="Heading1"/>
        <w:rPr>
          <w:lang w:val="en-ZA" w:bidi="ar-SA"/>
        </w:rPr>
      </w:pPr>
      <w:bookmarkStart w:id="18" w:name="_Ref99633230"/>
      <w:bookmarkStart w:id="19" w:name="_Toc100834541"/>
      <w:r>
        <w:rPr>
          <w:lang w:val="en-ZA" w:bidi="ar-SA"/>
        </w:rPr>
        <w:t>Data and a</w:t>
      </w:r>
      <w:r w:rsidR="005D1613">
        <w:rPr>
          <w:lang w:val="en-ZA" w:bidi="ar-SA"/>
        </w:rPr>
        <w:t>nalysis</w:t>
      </w:r>
      <w:r>
        <w:rPr>
          <w:lang w:val="en-ZA" w:bidi="ar-SA"/>
        </w:rPr>
        <w:t xml:space="preserve"> and </w:t>
      </w:r>
      <w:r w:rsidR="00927919">
        <w:rPr>
          <w:lang w:val="en-ZA" w:bidi="ar-SA"/>
        </w:rPr>
        <w:t xml:space="preserve">to </w:t>
      </w:r>
      <w:r w:rsidR="002B1730">
        <w:rPr>
          <w:lang w:val="en-ZA" w:bidi="ar-SA"/>
        </w:rPr>
        <w:t xml:space="preserve">assist in </w:t>
      </w:r>
      <w:r w:rsidR="005D1613">
        <w:rPr>
          <w:lang w:val="en-ZA" w:bidi="ar-SA"/>
        </w:rPr>
        <w:t xml:space="preserve">fee </w:t>
      </w:r>
      <w:r w:rsidR="002B1730">
        <w:rPr>
          <w:lang w:val="en-ZA" w:bidi="ar-SA"/>
        </w:rPr>
        <w:t>determination</w:t>
      </w:r>
      <w:bookmarkEnd w:id="18"/>
      <w:bookmarkEnd w:id="19"/>
    </w:p>
    <w:p w14:paraId="7AEDA36D" w14:textId="49A6098B" w:rsidR="00A54392" w:rsidRPr="00A54392" w:rsidRDefault="0005634B" w:rsidP="00A54392">
      <w:pPr>
        <w:pStyle w:val="BodyText"/>
        <w:rPr>
          <w:lang w:val="en-ZA" w:bidi="ar-SA"/>
        </w:rPr>
      </w:pPr>
      <w:r>
        <w:rPr>
          <w:lang w:val="en-ZA" w:bidi="ar-SA"/>
        </w:rPr>
        <w:t>Fee</w:t>
      </w:r>
      <w:r w:rsidR="00A87247">
        <w:rPr>
          <w:lang w:val="en-ZA" w:bidi="ar-SA"/>
        </w:rPr>
        <w:t xml:space="preserve"> review and</w:t>
      </w:r>
      <w:r>
        <w:rPr>
          <w:lang w:val="en-ZA" w:bidi="ar-SA"/>
        </w:rPr>
        <w:t xml:space="preserve"> determination </w:t>
      </w:r>
      <w:r w:rsidR="001B55FD">
        <w:rPr>
          <w:lang w:val="en-ZA" w:bidi="ar-SA"/>
        </w:rPr>
        <w:t xml:space="preserve">should be informed by </w:t>
      </w:r>
      <w:r w:rsidR="00CC06B1">
        <w:rPr>
          <w:lang w:val="en-ZA" w:bidi="ar-SA"/>
        </w:rPr>
        <w:t xml:space="preserve">key </w:t>
      </w:r>
      <w:r w:rsidR="001B55FD">
        <w:rPr>
          <w:lang w:val="en-ZA" w:bidi="ar-SA"/>
        </w:rPr>
        <w:t xml:space="preserve">data and analysis. This includes </w:t>
      </w:r>
      <w:r w:rsidR="000E1632">
        <w:rPr>
          <w:lang w:val="en-ZA" w:bidi="ar-SA"/>
        </w:rPr>
        <w:t xml:space="preserve">understanding the implications of adjustments for inflation, </w:t>
      </w:r>
      <w:r w:rsidR="00DF7981">
        <w:rPr>
          <w:lang w:val="en-ZA" w:bidi="ar-SA"/>
        </w:rPr>
        <w:t xml:space="preserve">benchmarking data and estimates of the processing costs associated with </w:t>
      </w:r>
      <w:r w:rsidR="00430103">
        <w:rPr>
          <w:lang w:val="en-ZA" w:bidi="ar-SA"/>
        </w:rPr>
        <w:t>permit and licences each of which is outlined below.</w:t>
      </w:r>
      <w:r w:rsidR="00A87247">
        <w:rPr>
          <w:lang w:val="en-ZA" w:bidi="ar-SA"/>
        </w:rPr>
        <w:t xml:space="preserve"> </w:t>
      </w:r>
    </w:p>
    <w:p w14:paraId="4B26D5BC" w14:textId="57162AF8" w:rsidR="00D537F5" w:rsidRDefault="000A2D43" w:rsidP="00063882">
      <w:pPr>
        <w:pStyle w:val="Heading2"/>
        <w:rPr>
          <w:lang w:val="en-ZA" w:bidi="ar-SA"/>
        </w:rPr>
      </w:pPr>
      <w:bookmarkStart w:id="20" w:name="_Toc100834542"/>
      <w:r>
        <w:rPr>
          <w:lang w:val="en-ZA" w:bidi="ar-SA"/>
        </w:rPr>
        <w:t>Adj</w:t>
      </w:r>
      <w:r w:rsidR="00666B3C">
        <w:rPr>
          <w:lang w:val="en-ZA" w:bidi="ar-SA"/>
        </w:rPr>
        <w:t>usting fee</w:t>
      </w:r>
      <w:r w:rsidR="00CC0DA9">
        <w:rPr>
          <w:lang w:val="en-ZA" w:bidi="ar-SA"/>
        </w:rPr>
        <w:t>s</w:t>
      </w:r>
      <w:r w:rsidR="00666B3C">
        <w:rPr>
          <w:lang w:val="en-ZA" w:bidi="ar-SA"/>
        </w:rPr>
        <w:t xml:space="preserve"> for inflation</w:t>
      </w:r>
      <w:bookmarkEnd w:id="20"/>
    </w:p>
    <w:p w14:paraId="78D063F4" w14:textId="311F7302" w:rsidR="00A426FA" w:rsidRPr="00A426FA" w:rsidRDefault="004C68AE" w:rsidP="00AF03EC">
      <w:pPr>
        <w:pStyle w:val="BodyText"/>
        <w:rPr>
          <w:lang w:val="en-ZA" w:bidi="ar-SA"/>
        </w:rPr>
      </w:pPr>
      <w:r>
        <w:rPr>
          <w:lang w:val="en-ZA" w:bidi="ar-SA"/>
        </w:rPr>
        <w:t xml:space="preserve">At a minimum, fees </w:t>
      </w:r>
      <w:r w:rsidR="007B6EB3">
        <w:rPr>
          <w:lang w:val="en-ZA" w:bidi="ar-SA"/>
        </w:rPr>
        <w:t>should</w:t>
      </w:r>
      <w:r>
        <w:rPr>
          <w:lang w:val="en-ZA" w:bidi="ar-SA"/>
        </w:rPr>
        <w:t xml:space="preserve"> keep pace with inflation. </w:t>
      </w:r>
      <w:r w:rsidR="00A426FA" w:rsidRPr="00A426FA">
        <w:rPr>
          <w:lang w:val="en-ZA" w:bidi="ar-SA"/>
        </w:rPr>
        <w:t xml:space="preserve">Some permit and licence fees were set several years ago and have therefore not kept up with inflation while others are updated yearly. </w:t>
      </w:r>
      <w:r w:rsidR="00A426FA" w:rsidRPr="0075048A">
        <w:rPr>
          <w:lang w:val="en-ZA" w:bidi="ar-SA"/>
        </w:rPr>
        <w:fldChar w:fldCharType="begin"/>
      </w:r>
      <w:r w:rsidR="00A426FA" w:rsidRPr="0075048A">
        <w:rPr>
          <w:lang w:val="en-ZA" w:bidi="ar-SA"/>
        </w:rPr>
        <w:instrText xml:space="preserve"> REF _Ref87521537 </w:instrText>
      </w:r>
      <w:r w:rsidR="0075048A" w:rsidRPr="0075048A">
        <w:rPr>
          <w:lang w:val="en-ZA" w:bidi="ar-SA"/>
        </w:rPr>
        <w:instrText xml:space="preserve"> \* MERGEFORMAT </w:instrText>
      </w:r>
      <w:r w:rsidR="00A426FA" w:rsidRPr="0075048A">
        <w:rPr>
          <w:lang w:val="en-ZA" w:bidi="ar-SA"/>
        </w:rPr>
        <w:fldChar w:fldCharType="separate"/>
      </w:r>
      <w:r w:rsidR="004F713D" w:rsidRPr="0075048A">
        <w:rPr>
          <w:bCs/>
          <w:lang w:val="en-ZA" w:bidi="ar-SA"/>
        </w:rPr>
        <w:t xml:space="preserve">Table </w:t>
      </w:r>
      <w:r w:rsidR="004F713D" w:rsidRPr="0075048A">
        <w:rPr>
          <w:bCs/>
          <w:noProof/>
          <w:lang w:val="en-ZA" w:bidi="ar-SA"/>
        </w:rPr>
        <w:t>3</w:t>
      </w:r>
      <w:r w:rsidR="004F713D" w:rsidRPr="0075048A">
        <w:rPr>
          <w:bCs/>
          <w:lang w:val="en-ZA" w:bidi="ar-SA"/>
        </w:rPr>
        <w:t>.</w:t>
      </w:r>
      <w:r w:rsidR="004F713D" w:rsidRPr="0075048A">
        <w:rPr>
          <w:bCs/>
          <w:noProof/>
          <w:lang w:val="en-ZA" w:bidi="ar-SA"/>
        </w:rPr>
        <w:t>1</w:t>
      </w:r>
      <w:r w:rsidR="00A426FA" w:rsidRPr="0075048A">
        <w:rPr>
          <w:lang w:val="en-ZA" w:bidi="ar-SA"/>
        </w:rPr>
        <w:fldChar w:fldCharType="end"/>
      </w:r>
      <w:r w:rsidR="00A426FA" w:rsidRPr="00A426FA">
        <w:rPr>
          <w:lang w:val="en-ZA" w:bidi="ar-SA"/>
        </w:rPr>
        <w:t xml:space="preserve"> shows where fees have not been adjusted in the last three year and provides the overall percentages by which fees would need to be increased to adjust them for inflation using national consumer price index (CPI) data</w:t>
      </w:r>
      <w:r w:rsidR="00A426FA" w:rsidRPr="00A426FA">
        <w:rPr>
          <w:lang w:val="en-ZA" w:eastAsia="en-GB" w:bidi="ar-SA"/>
        </w:rPr>
        <w:t>. National TOPS fees would need to increase by 113% while CITES fees would need to increase by 71%. Most provinces update the fees associated with their legislation regularly although Mpumalanga would require a 221% increase to some of its fees to adjust for inflation and the Eastern Cape would need to increase their hunting fees from 1984 by 1,416%.</w:t>
      </w:r>
      <w:r w:rsidR="00FB32E3">
        <w:rPr>
          <w:lang w:val="en-ZA" w:eastAsia="en-GB" w:bidi="ar-SA"/>
        </w:rPr>
        <w:t xml:space="preserve"> </w:t>
      </w:r>
    </w:p>
    <w:p w14:paraId="6D976F44" w14:textId="0CD27248" w:rsidR="00A426FA" w:rsidRPr="00DC613F" w:rsidRDefault="00A426FA" w:rsidP="00DC613F">
      <w:pPr>
        <w:pStyle w:val="Caption"/>
        <w:rPr>
          <w:lang w:val="en-ZA" w:bidi="ar-SA"/>
        </w:rPr>
      </w:pPr>
      <w:bookmarkStart w:id="21" w:name="_Ref87521537"/>
      <w:r w:rsidRPr="00DC613F">
        <w:rPr>
          <w:lang w:val="en-ZA" w:bidi="ar-SA"/>
        </w:rPr>
        <w:t xml:space="preserve">Table </w:t>
      </w:r>
      <w:r w:rsidRPr="00DC613F">
        <w:rPr>
          <w:lang w:val="en-ZA" w:bidi="ar-SA"/>
        </w:rPr>
        <w:fldChar w:fldCharType="begin"/>
      </w:r>
      <w:r w:rsidRPr="00DC613F">
        <w:rPr>
          <w:lang w:val="en-ZA" w:bidi="ar-SA"/>
        </w:rPr>
        <w:instrText xml:space="preserve"> STYLEREF 1 \s </w:instrText>
      </w:r>
      <w:r w:rsidRPr="00DC613F">
        <w:rPr>
          <w:lang w:val="en-ZA" w:bidi="ar-SA"/>
        </w:rPr>
        <w:fldChar w:fldCharType="separate"/>
      </w:r>
      <w:r w:rsidR="004E7021" w:rsidRPr="00DC613F">
        <w:rPr>
          <w:lang w:val="en-ZA" w:bidi="ar-SA"/>
        </w:rPr>
        <w:t>3</w:t>
      </w:r>
      <w:r w:rsidRPr="00DC613F">
        <w:rPr>
          <w:lang w:val="en-ZA" w:bidi="ar-SA"/>
        </w:rPr>
        <w:fldChar w:fldCharType="end"/>
      </w:r>
      <w:r w:rsidRPr="00DC613F">
        <w:rPr>
          <w:lang w:val="en-ZA" w:bidi="ar-SA"/>
        </w:rPr>
        <w:t>.</w:t>
      </w:r>
      <w:r w:rsidRPr="00DC613F">
        <w:rPr>
          <w:lang w:val="en-ZA" w:bidi="ar-SA"/>
        </w:rPr>
        <w:fldChar w:fldCharType="begin"/>
      </w:r>
      <w:r w:rsidRPr="00DC613F">
        <w:rPr>
          <w:lang w:val="en-ZA" w:bidi="ar-SA"/>
        </w:rPr>
        <w:instrText xml:space="preserve"> SEQ Table \* ARABIC \s 1 </w:instrText>
      </w:r>
      <w:r w:rsidRPr="00DC613F">
        <w:rPr>
          <w:lang w:val="en-ZA" w:bidi="ar-SA"/>
        </w:rPr>
        <w:fldChar w:fldCharType="separate"/>
      </w:r>
      <w:r w:rsidR="004E7021" w:rsidRPr="00DC613F">
        <w:rPr>
          <w:lang w:val="en-ZA" w:bidi="ar-SA"/>
        </w:rPr>
        <w:t>1</w:t>
      </w:r>
      <w:r w:rsidRPr="00DC613F">
        <w:rPr>
          <w:lang w:val="en-ZA" w:bidi="ar-SA"/>
        </w:rPr>
        <w:fldChar w:fldCharType="end"/>
      </w:r>
      <w:bookmarkEnd w:id="21"/>
      <w:r w:rsidRPr="00DC613F">
        <w:rPr>
          <w:lang w:val="en-ZA" w:bidi="ar-SA"/>
        </w:rPr>
        <w:t>: Percentage increases in permit and licence fees required to adjust for inflation for issuing authorities that have not adjusted their fees in the last three years</w:t>
      </w:r>
    </w:p>
    <w:tbl>
      <w:tblPr>
        <w:tblW w:w="7650" w:type="dxa"/>
        <w:tblLook w:val="04A0" w:firstRow="1" w:lastRow="0" w:firstColumn="1" w:lastColumn="0" w:noHBand="0" w:noVBand="1"/>
      </w:tblPr>
      <w:tblGrid>
        <w:gridCol w:w="4390"/>
        <w:gridCol w:w="1559"/>
        <w:gridCol w:w="1701"/>
      </w:tblGrid>
      <w:tr w:rsidR="00A426FA" w:rsidRPr="00A426FA" w14:paraId="2B30E71B" w14:textId="77777777" w:rsidTr="004727E6">
        <w:trPr>
          <w:trHeight w:val="697"/>
        </w:trPr>
        <w:tc>
          <w:tcPr>
            <w:tcW w:w="4390" w:type="dxa"/>
            <w:tcBorders>
              <w:top w:val="single" w:sz="4" w:space="0" w:color="auto"/>
              <w:left w:val="single" w:sz="4" w:space="0" w:color="auto"/>
              <w:bottom w:val="nil"/>
              <w:right w:val="single" w:sz="4" w:space="0" w:color="auto"/>
            </w:tcBorders>
            <w:shd w:val="clear" w:color="000000" w:fill="DDEBF7"/>
            <w:noWrap/>
            <w:vAlign w:val="center"/>
            <w:hideMark/>
          </w:tcPr>
          <w:p w14:paraId="659465A2"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Issuing Authority</w:t>
            </w:r>
          </w:p>
        </w:tc>
        <w:tc>
          <w:tcPr>
            <w:tcW w:w="1559" w:type="dxa"/>
            <w:tcBorders>
              <w:top w:val="single" w:sz="4" w:space="0" w:color="auto"/>
              <w:left w:val="nil"/>
              <w:bottom w:val="nil"/>
              <w:right w:val="single" w:sz="4" w:space="0" w:color="auto"/>
            </w:tcBorders>
            <w:shd w:val="clear" w:color="000000" w:fill="DDEBF7"/>
            <w:vAlign w:val="center"/>
            <w:hideMark/>
          </w:tcPr>
          <w:p w14:paraId="090BE148" w14:textId="77777777" w:rsidR="00A426FA" w:rsidRPr="00A426FA" w:rsidRDefault="00A426FA" w:rsidP="00A426FA">
            <w:pPr>
              <w:autoSpaceDE/>
              <w:autoSpaceDN/>
              <w:adjustRightInd/>
              <w:spacing w:after="0" w:line="240" w:lineRule="auto"/>
              <w:jc w:val="center"/>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Year of last fee adjustment</w:t>
            </w:r>
          </w:p>
        </w:tc>
        <w:tc>
          <w:tcPr>
            <w:tcW w:w="1701" w:type="dxa"/>
            <w:tcBorders>
              <w:top w:val="single" w:sz="4" w:space="0" w:color="auto"/>
              <w:left w:val="nil"/>
              <w:bottom w:val="nil"/>
              <w:right w:val="single" w:sz="4" w:space="0" w:color="auto"/>
            </w:tcBorders>
            <w:shd w:val="clear" w:color="000000" w:fill="DDEBF7"/>
            <w:vAlign w:val="center"/>
            <w:hideMark/>
          </w:tcPr>
          <w:p w14:paraId="27CE2A13" w14:textId="77777777" w:rsidR="00A426FA" w:rsidRPr="00A426FA" w:rsidRDefault="00A426FA" w:rsidP="00A426FA">
            <w:pPr>
              <w:autoSpaceDE/>
              <w:autoSpaceDN/>
              <w:adjustRightInd/>
              <w:spacing w:after="0" w:line="240" w:lineRule="auto"/>
              <w:jc w:val="center"/>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Increase needed to account for inflation</w:t>
            </w:r>
          </w:p>
        </w:tc>
      </w:tr>
      <w:tr w:rsidR="00A426FA" w:rsidRPr="00A426FA" w14:paraId="262B72A9" w14:textId="77777777" w:rsidTr="004727E6">
        <w:trPr>
          <w:trHeight w:val="372"/>
        </w:trPr>
        <w:tc>
          <w:tcPr>
            <w:tcW w:w="4390" w:type="dxa"/>
            <w:tcBorders>
              <w:top w:val="single" w:sz="4" w:space="0" w:color="auto"/>
              <w:left w:val="single" w:sz="4" w:space="0" w:color="auto"/>
              <w:bottom w:val="single" w:sz="4" w:space="0" w:color="auto"/>
              <w:right w:val="nil"/>
            </w:tcBorders>
            <w:shd w:val="clear" w:color="000000" w:fill="F2F2F2"/>
            <w:noWrap/>
            <w:vAlign w:val="center"/>
            <w:hideMark/>
          </w:tcPr>
          <w:p w14:paraId="0E1EC63C"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National - DFFE</w:t>
            </w:r>
          </w:p>
        </w:tc>
        <w:tc>
          <w:tcPr>
            <w:tcW w:w="1559" w:type="dxa"/>
            <w:tcBorders>
              <w:top w:val="single" w:sz="4" w:space="0" w:color="auto"/>
              <w:left w:val="nil"/>
              <w:bottom w:val="single" w:sz="4" w:space="0" w:color="auto"/>
              <w:right w:val="nil"/>
            </w:tcBorders>
            <w:shd w:val="clear" w:color="000000" w:fill="F2F2F2"/>
            <w:noWrap/>
            <w:vAlign w:val="bottom"/>
            <w:hideMark/>
          </w:tcPr>
          <w:p w14:paraId="4DA7B3F4"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 </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35AF6E69"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 </w:t>
            </w:r>
          </w:p>
        </w:tc>
      </w:tr>
      <w:tr w:rsidR="00A426FA" w:rsidRPr="00A426FA" w14:paraId="2C5A8095"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DA7FEE"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TOPS</w:t>
            </w:r>
          </w:p>
        </w:tc>
        <w:tc>
          <w:tcPr>
            <w:tcW w:w="1559" w:type="dxa"/>
            <w:tcBorders>
              <w:top w:val="nil"/>
              <w:left w:val="nil"/>
              <w:bottom w:val="single" w:sz="4" w:space="0" w:color="auto"/>
              <w:right w:val="single" w:sz="4" w:space="0" w:color="auto"/>
            </w:tcBorders>
            <w:shd w:val="clear" w:color="auto" w:fill="auto"/>
            <w:noWrap/>
            <w:vAlign w:val="bottom"/>
            <w:hideMark/>
          </w:tcPr>
          <w:p w14:paraId="386AB2B1"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2007</w:t>
            </w:r>
          </w:p>
        </w:tc>
        <w:tc>
          <w:tcPr>
            <w:tcW w:w="1701" w:type="dxa"/>
            <w:tcBorders>
              <w:top w:val="nil"/>
              <w:left w:val="nil"/>
              <w:bottom w:val="single" w:sz="4" w:space="0" w:color="auto"/>
              <w:right w:val="single" w:sz="4" w:space="0" w:color="auto"/>
            </w:tcBorders>
            <w:shd w:val="clear" w:color="auto" w:fill="auto"/>
            <w:noWrap/>
            <w:vAlign w:val="bottom"/>
            <w:hideMark/>
          </w:tcPr>
          <w:p w14:paraId="7055F30F"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113%</w:t>
            </w:r>
          </w:p>
        </w:tc>
      </w:tr>
      <w:tr w:rsidR="00A426FA" w:rsidRPr="00A426FA" w14:paraId="007DE98F"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03B0F8"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CITES</w:t>
            </w:r>
          </w:p>
        </w:tc>
        <w:tc>
          <w:tcPr>
            <w:tcW w:w="1559" w:type="dxa"/>
            <w:tcBorders>
              <w:top w:val="nil"/>
              <w:left w:val="nil"/>
              <w:bottom w:val="single" w:sz="4" w:space="0" w:color="auto"/>
              <w:right w:val="single" w:sz="4" w:space="0" w:color="auto"/>
            </w:tcBorders>
            <w:shd w:val="clear" w:color="auto" w:fill="auto"/>
            <w:noWrap/>
            <w:vAlign w:val="bottom"/>
            <w:hideMark/>
          </w:tcPr>
          <w:p w14:paraId="53A8CF97"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E30C839"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71%</w:t>
            </w:r>
          </w:p>
        </w:tc>
      </w:tr>
      <w:tr w:rsidR="00A426FA" w:rsidRPr="00A426FA" w14:paraId="201AABC3"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75C4EC"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TOPS Marine - Ordinary Permits</w:t>
            </w:r>
          </w:p>
        </w:tc>
        <w:tc>
          <w:tcPr>
            <w:tcW w:w="1559" w:type="dxa"/>
            <w:tcBorders>
              <w:top w:val="nil"/>
              <w:left w:val="nil"/>
              <w:bottom w:val="single" w:sz="4" w:space="0" w:color="auto"/>
              <w:right w:val="single" w:sz="4" w:space="0" w:color="auto"/>
            </w:tcBorders>
            <w:shd w:val="clear" w:color="auto" w:fill="auto"/>
            <w:noWrap/>
            <w:vAlign w:val="bottom"/>
            <w:hideMark/>
          </w:tcPr>
          <w:p w14:paraId="361097DC"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2007</w:t>
            </w:r>
          </w:p>
        </w:tc>
        <w:tc>
          <w:tcPr>
            <w:tcW w:w="1701" w:type="dxa"/>
            <w:tcBorders>
              <w:top w:val="nil"/>
              <w:left w:val="nil"/>
              <w:bottom w:val="single" w:sz="4" w:space="0" w:color="auto"/>
              <w:right w:val="single" w:sz="4" w:space="0" w:color="auto"/>
            </w:tcBorders>
            <w:shd w:val="clear" w:color="auto" w:fill="auto"/>
            <w:noWrap/>
            <w:vAlign w:val="bottom"/>
            <w:hideMark/>
          </w:tcPr>
          <w:p w14:paraId="359E972F"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113%</w:t>
            </w:r>
          </w:p>
        </w:tc>
      </w:tr>
      <w:tr w:rsidR="00A426FA" w:rsidRPr="00A426FA" w14:paraId="049FD47B"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3C0878"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TOPS Marine - whale watching, shark cage diving</w:t>
            </w:r>
          </w:p>
        </w:tc>
        <w:tc>
          <w:tcPr>
            <w:tcW w:w="1559" w:type="dxa"/>
            <w:tcBorders>
              <w:top w:val="nil"/>
              <w:left w:val="nil"/>
              <w:bottom w:val="single" w:sz="4" w:space="0" w:color="auto"/>
              <w:right w:val="single" w:sz="4" w:space="0" w:color="auto"/>
            </w:tcBorders>
            <w:shd w:val="clear" w:color="auto" w:fill="auto"/>
            <w:noWrap/>
            <w:vAlign w:val="bottom"/>
            <w:hideMark/>
          </w:tcPr>
          <w:p w14:paraId="2C1DB903"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B4F84A1"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71%</w:t>
            </w:r>
          </w:p>
        </w:tc>
      </w:tr>
      <w:tr w:rsidR="00A426FA" w:rsidRPr="00A426FA" w14:paraId="258785FA"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A72ACF"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AIS</w:t>
            </w:r>
          </w:p>
        </w:tc>
        <w:tc>
          <w:tcPr>
            <w:tcW w:w="1559" w:type="dxa"/>
            <w:tcBorders>
              <w:top w:val="nil"/>
              <w:left w:val="nil"/>
              <w:bottom w:val="single" w:sz="4" w:space="0" w:color="auto"/>
              <w:right w:val="single" w:sz="4" w:space="0" w:color="auto"/>
            </w:tcBorders>
            <w:shd w:val="clear" w:color="auto" w:fill="auto"/>
            <w:noWrap/>
            <w:vAlign w:val="bottom"/>
            <w:hideMark/>
          </w:tcPr>
          <w:p w14:paraId="6221FC8C"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4CE26D4A"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37%</w:t>
            </w:r>
          </w:p>
        </w:tc>
      </w:tr>
      <w:tr w:rsidR="00A426FA" w:rsidRPr="00A426FA" w14:paraId="6C9B1D48"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B2B9658"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BABS</w:t>
            </w:r>
          </w:p>
        </w:tc>
        <w:tc>
          <w:tcPr>
            <w:tcW w:w="1559" w:type="dxa"/>
            <w:tcBorders>
              <w:top w:val="nil"/>
              <w:left w:val="nil"/>
              <w:bottom w:val="single" w:sz="4" w:space="0" w:color="auto"/>
              <w:right w:val="single" w:sz="4" w:space="0" w:color="auto"/>
            </w:tcBorders>
            <w:shd w:val="clear" w:color="auto" w:fill="auto"/>
            <w:noWrap/>
            <w:vAlign w:val="bottom"/>
            <w:hideMark/>
          </w:tcPr>
          <w:p w14:paraId="32339599"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FFECA12"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31%</w:t>
            </w:r>
          </w:p>
        </w:tc>
      </w:tr>
      <w:tr w:rsidR="00A426FA" w:rsidRPr="00A426FA" w14:paraId="5C3B51F9" w14:textId="77777777" w:rsidTr="004727E6">
        <w:trPr>
          <w:trHeight w:val="360"/>
        </w:trPr>
        <w:tc>
          <w:tcPr>
            <w:tcW w:w="4390" w:type="dxa"/>
            <w:tcBorders>
              <w:top w:val="nil"/>
              <w:left w:val="single" w:sz="4" w:space="0" w:color="auto"/>
              <w:bottom w:val="single" w:sz="4" w:space="0" w:color="auto"/>
              <w:right w:val="nil"/>
            </w:tcBorders>
            <w:shd w:val="clear" w:color="000000" w:fill="F2F2F2"/>
            <w:noWrap/>
            <w:vAlign w:val="center"/>
            <w:hideMark/>
          </w:tcPr>
          <w:p w14:paraId="15BF4008"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Provinces</w:t>
            </w:r>
          </w:p>
        </w:tc>
        <w:tc>
          <w:tcPr>
            <w:tcW w:w="1559" w:type="dxa"/>
            <w:tcBorders>
              <w:top w:val="nil"/>
              <w:left w:val="nil"/>
              <w:bottom w:val="single" w:sz="4" w:space="0" w:color="auto"/>
              <w:right w:val="nil"/>
            </w:tcBorders>
            <w:shd w:val="clear" w:color="000000" w:fill="F2F2F2"/>
            <w:noWrap/>
            <w:vAlign w:val="bottom"/>
            <w:hideMark/>
          </w:tcPr>
          <w:p w14:paraId="65082388"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4481431" w14:textId="77777777" w:rsidR="00A426FA" w:rsidRPr="00A426FA" w:rsidRDefault="00A426FA" w:rsidP="00A426FA">
            <w:pPr>
              <w:autoSpaceDE/>
              <w:autoSpaceDN/>
              <w:adjustRightInd/>
              <w:spacing w:after="0" w:line="240" w:lineRule="auto"/>
              <w:rPr>
                <w:rFonts w:ascii="Arial" w:hAnsi="Arial" w:cs="Arial"/>
                <w:b/>
                <w:bCs/>
                <w:color w:val="000000"/>
                <w:sz w:val="18"/>
                <w:szCs w:val="18"/>
                <w:lang w:val="en-ZA" w:eastAsia="en-ZA" w:bidi="he-IL"/>
              </w:rPr>
            </w:pPr>
            <w:r w:rsidRPr="00A426FA">
              <w:rPr>
                <w:rFonts w:ascii="Arial" w:hAnsi="Arial" w:cs="Arial"/>
                <w:b/>
                <w:bCs/>
                <w:color w:val="000000"/>
                <w:sz w:val="18"/>
                <w:szCs w:val="18"/>
                <w:lang w:val="en-ZA" w:eastAsia="en-ZA" w:bidi="he-IL"/>
              </w:rPr>
              <w:t> </w:t>
            </w:r>
          </w:p>
        </w:tc>
      </w:tr>
      <w:tr w:rsidR="00A426FA" w:rsidRPr="00A426FA" w14:paraId="1B85875D"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C4A3CF"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Western Cape</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CD1AB0"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r w:rsidR="00A426FA" w:rsidRPr="00A426FA" w14:paraId="4F9C9FB3"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A6C1D1"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Kwa-Zulu Natal</w:t>
            </w:r>
          </w:p>
        </w:tc>
        <w:tc>
          <w:tcPr>
            <w:tcW w:w="1559" w:type="dxa"/>
            <w:tcBorders>
              <w:top w:val="nil"/>
              <w:left w:val="nil"/>
              <w:bottom w:val="single" w:sz="4" w:space="0" w:color="auto"/>
              <w:right w:val="single" w:sz="4" w:space="0" w:color="auto"/>
            </w:tcBorders>
            <w:shd w:val="clear" w:color="auto" w:fill="auto"/>
            <w:noWrap/>
            <w:vAlign w:val="bottom"/>
            <w:hideMark/>
          </w:tcPr>
          <w:p w14:paraId="54665042"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421CC04"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12%</w:t>
            </w:r>
          </w:p>
        </w:tc>
      </w:tr>
      <w:tr w:rsidR="00A426FA" w:rsidRPr="00A426FA" w14:paraId="65DD5624"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A785BF"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Mpumalanga</w:t>
            </w:r>
          </w:p>
        </w:tc>
        <w:tc>
          <w:tcPr>
            <w:tcW w:w="1559" w:type="dxa"/>
            <w:tcBorders>
              <w:top w:val="nil"/>
              <w:left w:val="nil"/>
              <w:bottom w:val="single" w:sz="4" w:space="0" w:color="auto"/>
              <w:right w:val="single" w:sz="4" w:space="0" w:color="auto"/>
            </w:tcBorders>
            <w:shd w:val="clear" w:color="auto" w:fill="auto"/>
            <w:noWrap/>
            <w:vAlign w:val="bottom"/>
            <w:hideMark/>
          </w:tcPr>
          <w:p w14:paraId="23C2C38F"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1999</w:t>
            </w:r>
          </w:p>
        </w:tc>
        <w:tc>
          <w:tcPr>
            <w:tcW w:w="1701" w:type="dxa"/>
            <w:tcBorders>
              <w:top w:val="nil"/>
              <w:left w:val="nil"/>
              <w:bottom w:val="single" w:sz="4" w:space="0" w:color="auto"/>
              <w:right w:val="single" w:sz="4" w:space="0" w:color="auto"/>
            </w:tcBorders>
            <w:shd w:val="clear" w:color="auto" w:fill="auto"/>
            <w:noWrap/>
            <w:vAlign w:val="bottom"/>
            <w:hideMark/>
          </w:tcPr>
          <w:p w14:paraId="01D51042"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221%</w:t>
            </w:r>
          </w:p>
        </w:tc>
      </w:tr>
      <w:tr w:rsidR="00A426FA" w:rsidRPr="00A426FA" w14:paraId="0A84FA67"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3E9CB0"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Northern Cape</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0DF536"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r w:rsidR="00A426FA" w:rsidRPr="00A426FA" w14:paraId="74248054"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86F678"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lastRenderedPageBreak/>
              <w:t xml:space="preserve">Eastern Cape </w:t>
            </w:r>
          </w:p>
        </w:tc>
        <w:tc>
          <w:tcPr>
            <w:tcW w:w="1559" w:type="dxa"/>
            <w:tcBorders>
              <w:top w:val="nil"/>
              <w:left w:val="nil"/>
              <w:bottom w:val="single" w:sz="4" w:space="0" w:color="auto"/>
              <w:right w:val="single" w:sz="4" w:space="0" w:color="auto"/>
            </w:tcBorders>
            <w:shd w:val="clear" w:color="auto" w:fill="auto"/>
            <w:noWrap/>
            <w:vAlign w:val="bottom"/>
            <w:hideMark/>
          </w:tcPr>
          <w:p w14:paraId="16AA2426"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1984</w:t>
            </w:r>
          </w:p>
        </w:tc>
        <w:tc>
          <w:tcPr>
            <w:tcW w:w="1701" w:type="dxa"/>
            <w:tcBorders>
              <w:top w:val="nil"/>
              <w:left w:val="nil"/>
              <w:bottom w:val="single" w:sz="4" w:space="0" w:color="auto"/>
              <w:right w:val="single" w:sz="4" w:space="0" w:color="auto"/>
            </w:tcBorders>
            <w:shd w:val="clear" w:color="auto" w:fill="auto"/>
            <w:noWrap/>
            <w:vAlign w:val="bottom"/>
            <w:hideMark/>
          </w:tcPr>
          <w:p w14:paraId="18399562" w14:textId="77777777" w:rsidR="00A426FA" w:rsidRPr="00A426FA" w:rsidRDefault="00A426FA" w:rsidP="00A426FA">
            <w:pPr>
              <w:autoSpaceDE/>
              <w:autoSpaceDN/>
              <w:adjustRightInd/>
              <w:spacing w:after="0" w:line="240" w:lineRule="auto"/>
              <w:jc w:val="right"/>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1416%</w:t>
            </w:r>
          </w:p>
        </w:tc>
      </w:tr>
      <w:tr w:rsidR="00A426FA" w:rsidRPr="00A426FA" w14:paraId="49A7C5DA"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5C0B68"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Gauteng</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2E560B"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r w:rsidR="00A426FA" w:rsidRPr="00A426FA" w14:paraId="330AA67A"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5E1E94"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Free State</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C7DA32"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r w:rsidR="00A426FA" w:rsidRPr="00A426FA" w14:paraId="414CC2AC"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A168E4"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proofErr w:type="gramStart"/>
            <w:r w:rsidRPr="00A426FA">
              <w:rPr>
                <w:rFonts w:ascii="Arial" w:hAnsi="Arial" w:cs="Arial"/>
                <w:color w:val="000000"/>
                <w:sz w:val="18"/>
                <w:szCs w:val="18"/>
                <w:lang w:val="en-ZA" w:eastAsia="en-ZA" w:bidi="he-IL"/>
              </w:rPr>
              <w:t>North West</w:t>
            </w:r>
            <w:proofErr w:type="gramEnd"/>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D41D31C"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r w:rsidR="00A426FA" w:rsidRPr="00A426FA" w14:paraId="694D8D09" w14:textId="77777777" w:rsidTr="004727E6">
        <w:trPr>
          <w:trHeight w:val="22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D510BC" w14:textId="77777777" w:rsidR="00A426FA" w:rsidRPr="00A426FA" w:rsidRDefault="00A426FA" w:rsidP="00A426FA">
            <w:pPr>
              <w:autoSpaceDE/>
              <w:autoSpaceDN/>
              <w:adjustRightInd/>
              <w:spacing w:after="0" w:line="240" w:lineRule="auto"/>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Limpopo</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EFC460" w14:textId="77777777" w:rsidR="00A426FA" w:rsidRPr="00A426FA" w:rsidRDefault="00A426FA" w:rsidP="00A426FA">
            <w:pPr>
              <w:autoSpaceDE/>
              <w:autoSpaceDN/>
              <w:adjustRightInd/>
              <w:spacing w:after="0" w:line="240" w:lineRule="auto"/>
              <w:jc w:val="center"/>
              <w:rPr>
                <w:rFonts w:ascii="Arial" w:hAnsi="Arial" w:cs="Arial"/>
                <w:color w:val="000000"/>
                <w:sz w:val="18"/>
                <w:szCs w:val="18"/>
                <w:lang w:val="en-ZA" w:eastAsia="en-ZA" w:bidi="he-IL"/>
              </w:rPr>
            </w:pPr>
            <w:r w:rsidRPr="00A426FA">
              <w:rPr>
                <w:rFonts w:ascii="Arial" w:hAnsi="Arial" w:cs="Arial"/>
                <w:color w:val="000000"/>
                <w:sz w:val="18"/>
                <w:szCs w:val="18"/>
                <w:lang w:val="en-ZA" w:eastAsia="en-ZA" w:bidi="he-IL"/>
              </w:rPr>
              <w:t>Adjusted in last three years</w:t>
            </w:r>
          </w:p>
        </w:tc>
      </w:tr>
    </w:tbl>
    <w:p w14:paraId="5BD88A91" w14:textId="77777777" w:rsidR="001C39EC" w:rsidRDefault="001C39EC" w:rsidP="001C39EC">
      <w:pPr>
        <w:pStyle w:val="BodyText"/>
      </w:pPr>
    </w:p>
    <w:p w14:paraId="1F5D0981" w14:textId="600C8290" w:rsidR="001C39EC" w:rsidRPr="00330411" w:rsidRDefault="00AF03EC" w:rsidP="00092FF0">
      <w:pPr>
        <w:pStyle w:val="BodyText"/>
      </w:pPr>
      <w:r>
        <w:rPr>
          <w:lang w:val="en-ZA" w:eastAsia="en-GB" w:bidi="ar-SA"/>
        </w:rPr>
        <w:t xml:space="preserve">The increased revenue implications </w:t>
      </w:r>
      <w:r w:rsidR="006A0AB8">
        <w:rPr>
          <w:lang w:val="en-ZA" w:eastAsia="en-GB" w:bidi="ar-SA"/>
        </w:rPr>
        <w:t>of</w:t>
      </w:r>
      <w:r>
        <w:rPr>
          <w:lang w:val="en-ZA" w:eastAsia="en-GB" w:bidi="ar-SA"/>
        </w:rPr>
        <w:t xml:space="preserve"> adjusting fees for inflation are assessed in Section </w:t>
      </w:r>
      <w:r w:rsidR="00A27E20">
        <w:rPr>
          <w:lang w:val="en-ZA" w:eastAsia="en-GB" w:bidi="ar-SA"/>
        </w:rPr>
        <w:fldChar w:fldCharType="begin"/>
      </w:r>
      <w:r w:rsidR="00A27E20">
        <w:rPr>
          <w:lang w:val="en-ZA" w:eastAsia="en-GB" w:bidi="ar-SA"/>
        </w:rPr>
        <w:instrText xml:space="preserve"> REF _Ref99633333 \r </w:instrText>
      </w:r>
      <w:r w:rsidR="00A27E20">
        <w:rPr>
          <w:lang w:val="en-ZA" w:eastAsia="en-GB" w:bidi="ar-SA"/>
        </w:rPr>
        <w:fldChar w:fldCharType="separate"/>
      </w:r>
      <w:r w:rsidR="00A27E20">
        <w:rPr>
          <w:lang w:val="en-ZA" w:eastAsia="en-GB" w:bidi="ar-SA"/>
        </w:rPr>
        <w:t>5</w:t>
      </w:r>
      <w:r w:rsidR="00A27E20">
        <w:rPr>
          <w:lang w:val="en-ZA" w:eastAsia="en-GB" w:bidi="ar-SA"/>
        </w:rPr>
        <w:fldChar w:fldCharType="end"/>
      </w:r>
      <w:r>
        <w:rPr>
          <w:lang w:val="en-ZA" w:eastAsia="en-GB" w:bidi="ar-SA"/>
        </w:rPr>
        <w:t xml:space="preserve">. </w:t>
      </w:r>
      <w:r w:rsidR="007C3826">
        <w:rPr>
          <w:lang w:val="en-ZA" w:eastAsia="en-GB" w:bidi="ar-SA"/>
        </w:rPr>
        <w:t xml:space="preserve">Although provincial issuing authorities can </w:t>
      </w:r>
      <w:r w:rsidR="002E1151" w:rsidRPr="00092FF0">
        <w:t>determine</w:t>
      </w:r>
      <w:r w:rsidR="007C3826">
        <w:rPr>
          <w:lang w:val="en-ZA" w:eastAsia="en-GB" w:bidi="ar-SA"/>
        </w:rPr>
        <w:t xml:space="preserve"> their own fees, </w:t>
      </w:r>
      <w:r w:rsidR="002E1151">
        <w:rPr>
          <w:lang w:val="en-ZA" w:eastAsia="en-GB" w:bidi="ar-SA"/>
        </w:rPr>
        <w:t xml:space="preserve">they are often heavily influenced by national fees. </w:t>
      </w:r>
      <w:r w:rsidR="0008789D">
        <w:rPr>
          <w:lang w:val="en-ZA" w:eastAsia="en-GB" w:bidi="ar-SA"/>
        </w:rPr>
        <w:t xml:space="preserve">For example, </w:t>
      </w:r>
      <w:r w:rsidR="00A621BC">
        <w:rPr>
          <w:lang w:val="en-ZA" w:eastAsia="en-GB" w:bidi="ar-SA"/>
        </w:rPr>
        <w:t xml:space="preserve">when </w:t>
      </w:r>
      <w:r w:rsidR="00D56D49">
        <w:rPr>
          <w:lang w:val="en-ZA" w:eastAsia="en-GB" w:bidi="ar-SA"/>
        </w:rPr>
        <w:t xml:space="preserve">justifying an </w:t>
      </w:r>
      <w:r w:rsidR="00B775E9">
        <w:rPr>
          <w:lang w:val="en-ZA"/>
        </w:rPr>
        <w:t>increase</w:t>
      </w:r>
      <w:r w:rsidR="00A621BC">
        <w:rPr>
          <w:lang w:val="en-ZA"/>
        </w:rPr>
        <w:t xml:space="preserve"> to</w:t>
      </w:r>
      <w:r w:rsidR="00B775E9">
        <w:rPr>
          <w:lang w:val="en-ZA"/>
        </w:rPr>
        <w:t xml:space="preserve"> their TOPS fee, </w:t>
      </w:r>
      <w:r w:rsidR="00457584">
        <w:rPr>
          <w:lang w:val="en-ZA"/>
        </w:rPr>
        <w:t>t</w:t>
      </w:r>
      <w:r w:rsidR="00625657">
        <w:rPr>
          <w:lang w:val="en-ZA"/>
        </w:rPr>
        <w:t xml:space="preserve">he issuing </w:t>
      </w:r>
      <w:r w:rsidR="006A0AB8">
        <w:rPr>
          <w:lang w:val="en-ZA"/>
        </w:rPr>
        <w:t>authority</w:t>
      </w:r>
      <w:r w:rsidR="00625657">
        <w:rPr>
          <w:lang w:val="en-ZA"/>
        </w:rPr>
        <w:t xml:space="preserve"> in </w:t>
      </w:r>
      <w:r w:rsidR="001C39EC">
        <w:t xml:space="preserve">Gauteng </w:t>
      </w:r>
      <w:r w:rsidR="00625657">
        <w:t>was told by the</w:t>
      </w:r>
      <w:r w:rsidR="006A0AB8">
        <w:t>ir</w:t>
      </w:r>
      <w:r w:rsidR="00625657">
        <w:t xml:space="preserve"> provincial </w:t>
      </w:r>
      <w:r w:rsidR="001C39EC">
        <w:t xml:space="preserve">Treasury that </w:t>
      </w:r>
      <w:r w:rsidR="00457584">
        <w:t>their current TOPS fee of</w:t>
      </w:r>
      <w:r w:rsidR="001C39EC">
        <w:t xml:space="preserve"> R88 was already high compared to the national fee of R50 and that it should therefore </w:t>
      </w:r>
      <w:r w:rsidR="00A621BC">
        <w:t>remain unchanged</w:t>
      </w:r>
      <w:r w:rsidR="001C39EC">
        <w:t xml:space="preserve">. The importance of </w:t>
      </w:r>
      <w:r w:rsidR="003E4664">
        <w:t xml:space="preserve">regularly </w:t>
      </w:r>
      <w:r w:rsidR="001C39EC">
        <w:t>updating national fees is clear.</w:t>
      </w:r>
    </w:p>
    <w:p w14:paraId="4DF4DEDF" w14:textId="2BB50DA0" w:rsidR="005D1613" w:rsidRDefault="005D1613" w:rsidP="00063882">
      <w:pPr>
        <w:pStyle w:val="Heading2"/>
      </w:pPr>
      <w:bookmarkStart w:id="22" w:name="_Toc100834543"/>
      <w:r>
        <w:t xml:space="preserve">Benchmarking </w:t>
      </w:r>
      <w:r w:rsidR="009C52F1">
        <w:t>and comparing fees</w:t>
      </w:r>
      <w:bookmarkEnd w:id="22"/>
    </w:p>
    <w:p w14:paraId="7BCF703D" w14:textId="27FCCB52" w:rsidR="00703CAA" w:rsidRPr="00A929E0" w:rsidRDefault="00703CAA" w:rsidP="00092FF0">
      <w:pPr>
        <w:pStyle w:val="BodyText"/>
        <w:rPr>
          <w:rFonts w:cs="Times New Roman"/>
          <w:szCs w:val="20"/>
          <w:lang w:val="en-ZA" w:bidi="ar-SA"/>
        </w:rPr>
      </w:pPr>
      <w:r w:rsidRPr="00A929E0">
        <w:rPr>
          <w:rFonts w:cs="Times New Roman"/>
          <w:szCs w:val="20"/>
          <w:lang w:val="en-ZA" w:bidi="ar-SA"/>
        </w:rPr>
        <w:t xml:space="preserve">International benchmarking focused on comparisons of considerations or criteria used for setting fees and fee amounts. </w:t>
      </w:r>
      <w:r w:rsidR="007228BD">
        <w:rPr>
          <w:rFonts w:cs="Times New Roman"/>
          <w:szCs w:val="20"/>
          <w:lang w:val="en-ZA" w:bidi="ar-SA"/>
        </w:rPr>
        <w:t>D</w:t>
      </w:r>
      <w:r w:rsidR="007228BD" w:rsidRPr="0099268C">
        <w:rPr>
          <w:lang w:val="en-ZA" w:eastAsia="en-GB" w:bidi="ar-SA"/>
        </w:rPr>
        <w:t xml:space="preserve">ata was gathered from the following countries: Botswana, Namibia, Mozambique, Zambia, Tanzania, Kenya, Rwanda, Australia, New Zealand, Canada, United States, Malaysia, Mexico, Estonia, Singapore and Vietnam. </w:t>
      </w:r>
      <w:r w:rsidRPr="00A929E0">
        <w:rPr>
          <w:rFonts w:cs="Times New Roman"/>
          <w:szCs w:val="20"/>
          <w:lang w:val="en-ZA" w:bidi="ar-SA"/>
        </w:rPr>
        <w:t xml:space="preserve">Fees in other countries were converted to Rands using Purchasing Power Parity (PPP) exchange rates and compared to currently applicable South African national fees and/or average fees across provinces. </w:t>
      </w:r>
      <w:r w:rsidR="00142908">
        <w:rPr>
          <w:rFonts w:cs="Times New Roman"/>
          <w:szCs w:val="20"/>
          <w:lang w:val="en-ZA" w:bidi="ar-SA"/>
        </w:rPr>
        <w:t>Note that c</w:t>
      </w:r>
      <w:proofErr w:type="spellStart"/>
      <w:r w:rsidRPr="00A929E0">
        <w:rPr>
          <w:rFonts w:cs="Times New Roman"/>
          <w:szCs w:val="20"/>
          <w:lang w:val="en-GB" w:eastAsia="en-ZA" w:bidi="ar-SA"/>
        </w:rPr>
        <w:t>omparisons</w:t>
      </w:r>
      <w:proofErr w:type="spellEnd"/>
      <w:r w:rsidRPr="00A929E0">
        <w:rPr>
          <w:rFonts w:cs="Times New Roman"/>
          <w:szCs w:val="20"/>
          <w:lang w:val="en-GB" w:eastAsia="en-ZA" w:bidi="ar-SA"/>
        </w:rPr>
        <w:t xml:space="preserve"> between different countries need to be treated with care. There are often significant differences in the structure of government agencies and responsibilities between countries which impact on fees. Each country also has their own priorities and system which guide services emphasis and levels of effort all of which make comparisons of fee amounts difficult. </w:t>
      </w:r>
    </w:p>
    <w:p w14:paraId="58C39BD4"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bidi="ar-SA"/>
        </w:rPr>
      </w:pPr>
      <w:bookmarkStart w:id="23" w:name="_Toc98173469"/>
      <w:bookmarkStart w:id="24" w:name="_Toc98246789"/>
      <w:bookmarkStart w:id="25" w:name="_Toc100834544"/>
      <w:r w:rsidRPr="00A929E0">
        <w:rPr>
          <w:rFonts w:ascii="Calibri" w:hAnsi="Calibri" w:cs="Times New Roman"/>
          <w:b/>
          <w:i/>
          <w:color w:val="002060"/>
          <w:sz w:val="20"/>
          <w:szCs w:val="18"/>
          <w:lang w:val="en-ZA" w:bidi="ar-SA"/>
        </w:rPr>
        <w:t>TOPS</w:t>
      </w:r>
      <w:bookmarkEnd w:id="23"/>
      <w:bookmarkEnd w:id="24"/>
      <w:bookmarkEnd w:id="25"/>
    </w:p>
    <w:p w14:paraId="03083371" w14:textId="7F1BECB2" w:rsidR="005D1613" w:rsidRPr="00A929E0" w:rsidRDefault="00095E51" w:rsidP="00092FF0">
      <w:pPr>
        <w:pStyle w:val="BodyText"/>
        <w:rPr>
          <w:lang w:val="en-ZA" w:bidi="ar-SA"/>
        </w:rPr>
      </w:pPr>
      <w:r>
        <w:rPr>
          <w:lang w:val="en-ZA" w:bidi="ar-SA"/>
        </w:rPr>
        <w:t>For TOPS</w:t>
      </w:r>
      <w:r w:rsidR="005D1613" w:rsidRPr="00A929E0">
        <w:rPr>
          <w:lang w:val="en-ZA" w:bidi="ar-SA"/>
        </w:rPr>
        <w:t xml:space="preserve">, all but one of South Africa’s current fees are substantially lower than the average of the countries considered. </w:t>
      </w:r>
      <w:r w:rsidR="005D1613" w:rsidRPr="00A929E0">
        <w:rPr>
          <w:lang w:val="en-GB" w:eastAsia="en-ZA" w:bidi="ar-SA"/>
        </w:rPr>
        <w:t xml:space="preserve">For example, </w:t>
      </w:r>
      <w:proofErr w:type="spellStart"/>
      <w:r w:rsidR="005D1613" w:rsidRPr="00A929E0">
        <w:rPr>
          <w:lang w:val="en-GB" w:eastAsia="en-ZA" w:bidi="ar-SA"/>
        </w:rPr>
        <w:t>i</w:t>
      </w:r>
      <w:r w:rsidR="005D1613" w:rsidRPr="00A929E0">
        <w:rPr>
          <w:lang w:val="en-ZA" w:bidi="ar-SA"/>
        </w:rPr>
        <w:t>nternational</w:t>
      </w:r>
      <w:proofErr w:type="spellEnd"/>
      <w:r w:rsidR="005D1613" w:rsidRPr="00A929E0">
        <w:rPr>
          <w:lang w:val="en-ZA" w:bidi="ar-SA"/>
        </w:rPr>
        <w:t xml:space="preserve"> import/export permit fees</w:t>
      </w:r>
      <w:r w:rsidR="005D1613" w:rsidRPr="00A929E0">
        <w:rPr>
          <w:lang w:val="en-GB" w:eastAsia="en-ZA" w:bidi="ar-SA"/>
        </w:rPr>
        <w:t xml:space="preserve"> in South Africa are </w:t>
      </w:r>
      <w:r w:rsidR="005D1613" w:rsidRPr="00A929E0">
        <w:rPr>
          <w:lang w:val="en-ZA" w:bidi="ar-SA"/>
        </w:rPr>
        <w:t>90% lower than the average for the countries included.</w:t>
      </w:r>
      <w:r w:rsidR="005D1613" w:rsidRPr="00A929E0">
        <w:rPr>
          <w:lang w:val="en-GB" w:eastAsia="en-ZA" w:bidi="ar-SA"/>
        </w:rPr>
        <w:t xml:space="preserve"> O</w:t>
      </w:r>
      <w:proofErr w:type="spellStart"/>
      <w:r w:rsidR="005D1613" w:rsidRPr="00A929E0">
        <w:rPr>
          <w:lang w:val="en-ZA" w:bidi="ar-SA"/>
        </w:rPr>
        <w:t>nly</w:t>
      </w:r>
      <w:proofErr w:type="spellEnd"/>
      <w:r w:rsidR="005D1613" w:rsidRPr="00A929E0">
        <w:rPr>
          <w:lang w:val="en-ZA" w:bidi="ar-SA"/>
        </w:rPr>
        <w:t xml:space="preserve"> permit fees for the registration of a hunting/game farm were higher in South African relative to Namibia.</w:t>
      </w:r>
    </w:p>
    <w:p w14:paraId="6CAA1CA3" w14:textId="25E9DBC8" w:rsidR="005D1613"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2</w:t>
      </w:r>
      <w:r w:rsidRPr="00A929E0">
        <w:rPr>
          <w:lang w:val="en-ZA" w:bidi="ar-SA"/>
        </w:rPr>
        <w:fldChar w:fldCharType="end"/>
      </w:r>
      <w:r w:rsidRPr="00A929E0">
        <w:rPr>
          <w:lang w:val="en-ZA" w:bidi="ar-SA"/>
        </w:rPr>
        <w:t xml:space="preserve"> Benchmarked TOPS terrestrial permit fees per year converted to Rand using PPP exchange rates</w:t>
      </w:r>
      <w:r w:rsidR="004B1F54">
        <w:rPr>
          <w:lang w:val="en-ZA" w:bidi="ar-SA"/>
        </w:rPr>
        <w:t xml:space="preserve"> and compared to</w:t>
      </w:r>
      <w:r w:rsidR="005E14C0">
        <w:rPr>
          <w:lang w:val="en-ZA" w:bidi="ar-SA"/>
        </w:rPr>
        <w:t xml:space="preserve"> South African fees and permit</w:t>
      </w:r>
      <w:r w:rsidR="004B1F54">
        <w:rPr>
          <w:lang w:val="en-ZA" w:bidi="ar-SA"/>
        </w:rPr>
        <w:t xml:space="preserve"> processing costs</w:t>
      </w:r>
    </w:p>
    <w:p w14:paraId="11B9DA94" w14:textId="77777777" w:rsidR="004C124D" w:rsidRDefault="004C124D" w:rsidP="004C124D">
      <w:pPr>
        <w:ind w:left="-454"/>
        <w:jc w:val="center"/>
      </w:pPr>
      <w:r>
        <w:rPr>
          <w:noProof/>
        </w:rPr>
        <w:drawing>
          <wp:inline distT="0" distB="0" distL="0" distR="0" wp14:anchorId="6B004374" wp14:editId="04289AC7">
            <wp:extent cx="6474460" cy="1566545"/>
            <wp:effectExtent l="0" t="0" r="2540" b="0"/>
            <wp:docPr id="40" name="Picture 4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4460" cy="1566545"/>
                    </a:xfrm>
                    <a:prstGeom prst="rect">
                      <a:avLst/>
                    </a:prstGeom>
                    <a:noFill/>
                  </pic:spPr>
                </pic:pic>
              </a:graphicData>
            </a:graphic>
          </wp:inline>
        </w:drawing>
      </w:r>
    </w:p>
    <w:p w14:paraId="4F81C4C1"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bidi="ar-SA"/>
        </w:rPr>
      </w:pPr>
      <w:bookmarkStart w:id="26" w:name="_Toc98173470"/>
      <w:bookmarkStart w:id="27" w:name="_Toc98246790"/>
      <w:bookmarkStart w:id="28" w:name="_Toc100834545"/>
      <w:r w:rsidRPr="00A929E0">
        <w:rPr>
          <w:rFonts w:ascii="Calibri" w:hAnsi="Calibri" w:cs="Times New Roman"/>
          <w:b/>
          <w:i/>
          <w:color w:val="002060"/>
          <w:sz w:val="20"/>
          <w:szCs w:val="18"/>
          <w:lang w:val="en-ZA" w:bidi="ar-SA"/>
        </w:rPr>
        <w:lastRenderedPageBreak/>
        <w:t>CITES</w:t>
      </w:r>
      <w:bookmarkEnd w:id="26"/>
      <w:bookmarkEnd w:id="27"/>
      <w:bookmarkEnd w:id="28"/>
    </w:p>
    <w:p w14:paraId="6D103AB0" w14:textId="77777777" w:rsidR="005D1613" w:rsidRPr="00A929E0" w:rsidRDefault="005D1613" w:rsidP="00092FF0">
      <w:pPr>
        <w:pStyle w:val="BodyText"/>
        <w:rPr>
          <w:lang w:val="en-ZA" w:eastAsia="en-GB" w:bidi="ar-SA"/>
        </w:rPr>
      </w:pPr>
      <w:r w:rsidRPr="00A929E0">
        <w:rPr>
          <w:lang w:val="en-ZA" w:eastAsia="en-GB" w:bidi="ar-SA"/>
        </w:rPr>
        <w:t>The 2021 draft amended fee proposed for a CITES permit without annexure in South Africa will be very slightly lower (8%) than the average international fee, while the ‘with annexure’ permit fee is 47% higher than the average international fee given that benchmarked countries charge the same with and without annexure.</w:t>
      </w:r>
    </w:p>
    <w:p w14:paraId="22A856CB" w14:textId="3F328DAD" w:rsidR="005D1613" w:rsidRPr="00A929E0" w:rsidRDefault="005D1613" w:rsidP="00D91FCD">
      <w:pPr>
        <w:pStyle w:val="Caption"/>
        <w:rPr>
          <w:lang w:val="en-ZA" w:eastAsia="en-GB"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eastAsia="en-GB" w:bidi="ar-SA"/>
        </w:rPr>
        <w:t xml:space="preserve"> Benchmarked CITES terrestrial permit fees per year converted to Rand using PPP exchange rates</w:t>
      </w:r>
    </w:p>
    <w:p w14:paraId="2F16701B" w14:textId="77777777" w:rsidR="005D1613" w:rsidRPr="00A929E0" w:rsidRDefault="005D1613" w:rsidP="005D1613">
      <w:pPr>
        <w:autoSpaceDE/>
        <w:autoSpaceDN/>
        <w:adjustRightInd/>
        <w:spacing w:after="0" w:line="240" w:lineRule="auto"/>
        <w:ind w:left="-510"/>
        <w:jc w:val="both"/>
        <w:rPr>
          <w:rFonts w:ascii="Calibri" w:hAnsi="Calibri" w:cs="Times New Roman"/>
          <w:szCs w:val="20"/>
          <w:lang w:val="en-ZA" w:eastAsia="en-GB" w:bidi="ar-SA"/>
        </w:rPr>
      </w:pPr>
      <w:r w:rsidRPr="00A929E0">
        <w:rPr>
          <w:rFonts w:ascii="Calibri" w:hAnsi="Calibri" w:cs="Times New Roman"/>
          <w:noProof/>
          <w:szCs w:val="20"/>
          <w:lang w:val="en-ZA" w:bidi="ar-SA"/>
        </w:rPr>
        <w:drawing>
          <wp:inline distT="0" distB="0" distL="0" distR="0" wp14:anchorId="6F90D199" wp14:editId="21C5CD99">
            <wp:extent cx="6450701" cy="8451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693" cy="853643"/>
                    </a:xfrm>
                    <a:prstGeom prst="rect">
                      <a:avLst/>
                    </a:prstGeom>
                    <a:noFill/>
                    <a:ln>
                      <a:noFill/>
                    </a:ln>
                  </pic:spPr>
                </pic:pic>
              </a:graphicData>
            </a:graphic>
          </wp:inline>
        </w:drawing>
      </w:r>
    </w:p>
    <w:p w14:paraId="090E1014"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eastAsia="en-GB" w:bidi="ar-SA"/>
        </w:rPr>
      </w:pPr>
      <w:bookmarkStart w:id="29" w:name="_Toc98173471"/>
      <w:bookmarkStart w:id="30" w:name="_Toc98246791"/>
      <w:bookmarkStart w:id="31" w:name="_Toc100834546"/>
      <w:r w:rsidRPr="00A929E0">
        <w:rPr>
          <w:rFonts w:ascii="Calibri" w:hAnsi="Calibri" w:cs="Times New Roman"/>
          <w:b/>
          <w:i/>
          <w:color w:val="002060"/>
          <w:sz w:val="20"/>
          <w:szCs w:val="18"/>
          <w:lang w:val="en-ZA" w:eastAsia="en-GB" w:bidi="ar-SA"/>
        </w:rPr>
        <w:t>Whale watching and white shark cage diving</w:t>
      </w:r>
      <w:bookmarkEnd w:id="29"/>
      <w:bookmarkEnd w:id="30"/>
      <w:bookmarkEnd w:id="31"/>
    </w:p>
    <w:p w14:paraId="7B8B88CF" w14:textId="2C2B191A" w:rsidR="005D1613" w:rsidRPr="00A929E0" w:rsidRDefault="005D1613" w:rsidP="00092FF0">
      <w:pPr>
        <w:pStyle w:val="BodyText"/>
        <w:rPr>
          <w:lang w:val="en-ZA" w:eastAsia="en-GB" w:bidi="ar-SA"/>
        </w:rPr>
      </w:pPr>
      <w:r w:rsidRPr="00A929E0">
        <w:rPr>
          <w:lang w:val="en-ZA" w:eastAsia="en-GB" w:bidi="ar-SA"/>
        </w:rPr>
        <w:t>The South African CITES and TOPS terrestrial permit types and fees apply to similar activities for marine permit</w:t>
      </w:r>
      <w:r w:rsidR="00B81CAF">
        <w:rPr>
          <w:lang w:val="en-ZA" w:eastAsia="en-GB" w:bidi="ar-SA"/>
        </w:rPr>
        <w:t>s</w:t>
      </w:r>
      <w:r w:rsidRPr="00A929E0">
        <w:rPr>
          <w:lang w:val="en-ZA" w:eastAsia="en-GB" w:bidi="ar-SA"/>
        </w:rPr>
        <w:t xml:space="preserve"> which was </w:t>
      </w:r>
      <w:r w:rsidR="00B81CAF">
        <w:rPr>
          <w:lang w:val="en-ZA" w:eastAsia="en-GB" w:bidi="ar-SA"/>
        </w:rPr>
        <w:t xml:space="preserve">also </w:t>
      </w:r>
      <w:r w:rsidRPr="00A929E0">
        <w:rPr>
          <w:lang w:val="en-ZA" w:eastAsia="en-GB" w:bidi="ar-SA"/>
        </w:rPr>
        <w:t>found to be the case in other countries. However, they also apply to boat-based whale watching and white shark cage diving which are essentially tourism activities therefore differing markedly from the other fee types under NEMBA.</w:t>
      </w:r>
    </w:p>
    <w:p w14:paraId="3073D3FD" w14:textId="77777777" w:rsidR="005D1613" w:rsidRPr="00A929E0" w:rsidRDefault="005D1613" w:rsidP="00092FF0">
      <w:pPr>
        <w:pStyle w:val="BodyText"/>
        <w:rPr>
          <w:lang w:val="en-GB" w:eastAsia="en-ZA" w:bidi="ar-SA"/>
        </w:rPr>
      </w:pPr>
      <w:r w:rsidRPr="00A929E0">
        <w:rPr>
          <w:lang w:val="en-GB" w:eastAsia="en-ZA" w:bidi="ar-SA"/>
        </w:rPr>
        <w:t>For boat-based whale watching, South Africa has similar currently applicable fees to the international average for small boats with 5 passengers or less, but fees are several orders of magnitude above the international average for medium and especially larger boats.</w:t>
      </w:r>
    </w:p>
    <w:p w14:paraId="6698588A" w14:textId="0C1DADF8" w:rsidR="005D1613" w:rsidRPr="00A929E0"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4</w:t>
      </w:r>
      <w:r w:rsidRPr="00A929E0">
        <w:rPr>
          <w:lang w:val="en-ZA" w:bidi="ar-SA"/>
        </w:rPr>
        <w:fldChar w:fldCharType="end"/>
      </w:r>
      <w:r w:rsidRPr="00A929E0">
        <w:rPr>
          <w:lang w:val="en-ZA" w:bidi="ar-SA"/>
        </w:rPr>
        <w:t>: Benchmarked international boat-based whale watching permit fees per year converted to Rand using PPP exchange rates</w:t>
      </w:r>
    </w:p>
    <w:p w14:paraId="7D8998D8" w14:textId="77777777" w:rsidR="005D1613" w:rsidRPr="00A929E0" w:rsidRDefault="005D1613" w:rsidP="005D1613">
      <w:pPr>
        <w:autoSpaceDE/>
        <w:autoSpaceDN/>
        <w:adjustRightInd/>
        <w:spacing w:after="0" w:line="240" w:lineRule="auto"/>
        <w:jc w:val="both"/>
        <w:rPr>
          <w:rFonts w:ascii="Calibri" w:hAnsi="Calibri" w:cs="Times New Roman"/>
          <w:szCs w:val="20"/>
          <w:lang w:val="en-ZA" w:bidi="ar-SA"/>
        </w:rPr>
      </w:pPr>
      <w:r w:rsidRPr="00A929E0">
        <w:rPr>
          <w:rFonts w:ascii="Calibri" w:hAnsi="Calibri" w:cs="Times New Roman"/>
          <w:noProof/>
          <w:szCs w:val="20"/>
          <w:lang w:val="en-ZA" w:bidi="ar-SA"/>
        </w:rPr>
        <w:drawing>
          <wp:inline distT="0" distB="0" distL="0" distR="0" wp14:anchorId="3C6D3987" wp14:editId="4544CCCE">
            <wp:extent cx="5927090" cy="1508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090" cy="1508760"/>
                    </a:xfrm>
                    <a:prstGeom prst="rect">
                      <a:avLst/>
                    </a:prstGeom>
                    <a:noFill/>
                    <a:ln>
                      <a:noFill/>
                    </a:ln>
                  </pic:spPr>
                </pic:pic>
              </a:graphicData>
            </a:graphic>
          </wp:inline>
        </w:drawing>
      </w:r>
    </w:p>
    <w:p w14:paraId="22B99A32" w14:textId="77777777" w:rsidR="005D1613" w:rsidRPr="00A929E0" w:rsidRDefault="005D1613" w:rsidP="005D1613">
      <w:pPr>
        <w:autoSpaceDE/>
        <w:autoSpaceDN/>
        <w:adjustRightInd/>
        <w:spacing w:after="0" w:line="240" w:lineRule="auto"/>
        <w:jc w:val="both"/>
        <w:rPr>
          <w:rFonts w:ascii="Calibri" w:hAnsi="Calibri" w:cs="Times New Roman"/>
          <w:szCs w:val="20"/>
          <w:lang w:val="en-ZA" w:bidi="ar-SA"/>
        </w:rPr>
      </w:pPr>
    </w:p>
    <w:p w14:paraId="455D303A" w14:textId="3E51BC01" w:rsidR="005D1613" w:rsidRPr="00A929E0" w:rsidRDefault="005D1613" w:rsidP="00092FF0">
      <w:pPr>
        <w:pStyle w:val="BodyText"/>
        <w:rPr>
          <w:lang w:val="en-GB" w:eastAsia="en-ZA" w:bidi="ar-SA"/>
        </w:rPr>
      </w:pPr>
      <w:r w:rsidRPr="00A929E0">
        <w:rPr>
          <w:lang w:val="en-GB" w:eastAsia="en-ZA" w:bidi="ar-SA"/>
        </w:rPr>
        <w:t xml:space="preserve">For white shark cage diving, fees in South Africa are more than 85% less than the international average which indicates that per diver fees </w:t>
      </w:r>
      <w:r w:rsidR="009A6EA7">
        <w:rPr>
          <w:lang w:val="en-GB" w:eastAsia="en-ZA" w:bidi="ar-SA"/>
        </w:rPr>
        <w:t xml:space="preserve">used internationally </w:t>
      </w:r>
      <w:r w:rsidRPr="00A929E0">
        <w:rPr>
          <w:lang w:val="en-GB" w:eastAsia="en-ZA" w:bidi="ar-SA"/>
        </w:rPr>
        <w:t xml:space="preserve">seem to have the potential to result in higher revenues. They also have an advantage of ensuring that operators do not have to pay permit fees when diver numbers are down for reasons beyond the control of operators such as </w:t>
      </w:r>
      <w:r w:rsidR="00D806AA">
        <w:rPr>
          <w:lang w:val="en-GB" w:eastAsia="en-ZA" w:bidi="ar-SA"/>
        </w:rPr>
        <w:t>during</w:t>
      </w:r>
      <w:r w:rsidRPr="00A929E0">
        <w:rPr>
          <w:lang w:val="en-GB" w:eastAsia="en-ZA" w:bidi="ar-SA"/>
        </w:rPr>
        <w:t xml:space="preserve"> the COVID-19 pandemic. Disadvantages include the need to monitor and verify diver numbers which comes at a cost.</w:t>
      </w:r>
    </w:p>
    <w:p w14:paraId="2FC5879C" w14:textId="77777777" w:rsidR="00173953" w:rsidRDefault="00173953" w:rsidP="00092FF0">
      <w:pPr>
        <w:pStyle w:val="BodyText"/>
        <w:rPr>
          <w:lang w:val="en-GB" w:eastAsia="en-ZA" w:bidi="ar-SA"/>
        </w:rPr>
      </w:pPr>
    </w:p>
    <w:p w14:paraId="2849FCF3" w14:textId="77777777" w:rsidR="00310CD0" w:rsidRPr="00A929E0" w:rsidRDefault="00310CD0" w:rsidP="00092FF0">
      <w:pPr>
        <w:pStyle w:val="BodyText"/>
        <w:rPr>
          <w:lang w:val="en-GB" w:eastAsia="en-ZA" w:bidi="ar-SA"/>
        </w:rPr>
      </w:pPr>
    </w:p>
    <w:p w14:paraId="23100686" w14:textId="7282B20D" w:rsidR="005D1613" w:rsidRPr="00A929E0" w:rsidRDefault="005D1613" w:rsidP="00D91FCD">
      <w:pPr>
        <w:pStyle w:val="Caption"/>
        <w:rPr>
          <w:lang w:val="en-ZA" w:bidi="ar-SA"/>
        </w:rPr>
      </w:pPr>
      <w:r w:rsidRPr="00A929E0">
        <w:rPr>
          <w:lang w:val="en-ZA" w:bidi="ar-SA"/>
        </w:rPr>
        <w:lastRenderedPageBreak/>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5</w:t>
      </w:r>
      <w:r w:rsidRPr="00A929E0">
        <w:rPr>
          <w:lang w:val="en-ZA" w:bidi="ar-SA"/>
        </w:rPr>
        <w:fldChar w:fldCharType="end"/>
      </w:r>
      <w:r w:rsidRPr="00A929E0">
        <w:rPr>
          <w:lang w:val="en-ZA" w:bidi="ar-SA"/>
        </w:rPr>
        <w:t xml:space="preserve"> Benchmarked international white shark cage diving permit fees per year converted to Rand using PPP exchange rates</w:t>
      </w:r>
    </w:p>
    <w:p w14:paraId="38D71A46" w14:textId="77777777" w:rsidR="005D1613" w:rsidRPr="00A929E0" w:rsidRDefault="005D1613" w:rsidP="005D1613">
      <w:pPr>
        <w:autoSpaceDE/>
        <w:autoSpaceDN/>
        <w:adjustRightInd/>
        <w:spacing w:after="0" w:line="240" w:lineRule="auto"/>
        <w:jc w:val="both"/>
        <w:rPr>
          <w:rFonts w:ascii="Calibri" w:hAnsi="Calibri" w:cs="Times New Roman"/>
          <w:szCs w:val="20"/>
          <w:lang w:val="en-ZA" w:bidi="ar-SA"/>
        </w:rPr>
      </w:pPr>
      <w:r w:rsidRPr="00A929E0">
        <w:rPr>
          <w:rFonts w:ascii="Calibri" w:hAnsi="Calibri" w:cs="Times New Roman"/>
          <w:noProof/>
          <w:szCs w:val="20"/>
          <w:lang w:val="en-ZA" w:bidi="ar-SA"/>
        </w:rPr>
        <w:drawing>
          <wp:inline distT="0" distB="0" distL="0" distR="0" wp14:anchorId="7B71CFBA" wp14:editId="583B0B0E">
            <wp:extent cx="5534891" cy="1216205"/>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0931" cy="1219730"/>
                    </a:xfrm>
                    <a:prstGeom prst="rect">
                      <a:avLst/>
                    </a:prstGeom>
                    <a:noFill/>
                    <a:ln>
                      <a:noFill/>
                    </a:ln>
                  </pic:spPr>
                </pic:pic>
              </a:graphicData>
            </a:graphic>
          </wp:inline>
        </w:drawing>
      </w:r>
    </w:p>
    <w:p w14:paraId="2F17AFDF"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bidi="ar-SA"/>
        </w:rPr>
      </w:pPr>
      <w:bookmarkStart w:id="32" w:name="_Toc98173472"/>
      <w:bookmarkStart w:id="33" w:name="_Toc98246792"/>
      <w:bookmarkStart w:id="34" w:name="_Toc100834547"/>
      <w:r w:rsidRPr="00A929E0">
        <w:rPr>
          <w:rFonts w:ascii="Calibri" w:hAnsi="Calibri" w:cs="Times New Roman"/>
          <w:b/>
          <w:i/>
          <w:color w:val="002060"/>
          <w:sz w:val="20"/>
          <w:szCs w:val="18"/>
          <w:lang w:val="en-ZA" w:bidi="ar-SA"/>
        </w:rPr>
        <w:t>BABS</w:t>
      </w:r>
      <w:bookmarkEnd w:id="32"/>
      <w:bookmarkEnd w:id="33"/>
      <w:bookmarkEnd w:id="34"/>
    </w:p>
    <w:p w14:paraId="46E3CE34" w14:textId="77777777" w:rsidR="005D1613" w:rsidRPr="00A929E0" w:rsidRDefault="005D1613" w:rsidP="00092FF0">
      <w:pPr>
        <w:pStyle w:val="BodyText"/>
        <w:rPr>
          <w:lang w:val="en-GB" w:eastAsia="en-ZA" w:bidi="ar-SA"/>
        </w:rPr>
      </w:pPr>
      <w:r w:rsidRPr="00A929E0">
        <w:rPr>
          <w:lang w:val="en-ZA" w:bidi="ar-SA"/>
        </w:rPr>
        <w:t>Fees are highly variable with Rwanda, India and Malaysia charging lower fees for citizens relative to foreigners and most countries offering much lower fees for non-commercial research.</w:t>
      </w:r>
      <w:r w:rsidRPr="00A929E0">
        <w:rPr>
          <w:lang w:val="en-ZA" w:eastAsia="en-ZA" w:bidi="ar-SA"/>
        </w:rPr>
        <w:t xml:space="preserve"> </w:t>
      </w:r>
      <w:r w:rsidRPr="00A929E0">
        <w:rPr>
          <w:lang w:val="en-GB" w:eastAsia="en-ZA" w:bidi="ar-SA"/>
        </w:rPr>
        <w:t>For citizens, current South African fees are relatively comparable to international fees although they are higher than international averages for higher turnover entities and lower for low turnover entities (which is an expected outcome given the structure of South African fees). For non-citizens, fees for entities with a turnover exceeding R750,000 will apply (i.e. foreign bioprospecting companies almost certainly will have a turnover above this amount) and South African fees for this category are roughly double the international average although they are lower than Kenyan fees.</w:t>
      </w:r>
    </w:p>
    <w:p w14:paraId="2C6A7A0F" w14:textId="5615BDC8" w:rsidR="005D1613" w:rsidRPr="00A929E0"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6</w:t>
      </w:r>
      <w:r w:rsidRPr="00A929E0">
        <w:rPr>
          <w:lang w:val="en-ZA" w:bidi="ar-SA"/>
        </w:rPr>
        <w:fldChar w:fldCharType="end"/>
      </w:r>
      <w:r w:rsidRPr="00A929E0">
        <w:rPr>
          <w:lang w:val="en-ZA" w:bidi="ar-SA"/>
        </w:rPr>
        <w:t>: Benchmarked international bioprospecting permit fees converted to Rand using PPP exchange rates</w:t>
      </w:r>
    </w:p>
    <w:p w14:paraId="0BD94AC6" w14:textId="77777777" w:rsidR="005D1613" w:rsidRPr="00A929E0" w:rsidRDefault="005D1613" w:rsidP="005D1613">
      <w:pPr>
        <w:autoSpaceDE/>
        <w:autoSpaceDN/>
        <w:adjustRightInd/>
        <w:spacing w:after="0" w:line="240" w:lineRule="auto"/>
        <w:ind w:left="-284"/>
        <w:jc w:val="both"/>
        <w:rPr>
          <w:rFonts w:ascii="Calibri" w:hAnsi="Calibri" w:cs="Times New Roman"/>
          <w:szCs w:val="20"/>
          <w:lang w:val="en-ZA" w:bidi="ar-SA"/>
        </w:rPr>
      </w:pPr>
      <w:r w:rsidRPr="00A929E0">
        <w:rPr>
          <w:rFonts w:ascii="Calibri" w:hAnsi="Calibri" w:cs="Times New Roman"/>
          <w:noProof/>
          <w:szCs w:val="20"/>
          <w:lang w:val="en-ZA" w:bidi="ar-SA"/>
        </w:rPr>
        <w:drawing>
          <wp:inline distT="0" distB="0" distL="0" distR="0" wp14:anchorId="6C23F4EB" wp14:editId="3A77DD99">
            <wp:extent cx="6415303" cy="2798618"/>
            <wp:effectExtent l="0" t="0" r="5080" b="1905"/>
            <wp:docPr id="47" name="Picture 4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background patter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8670" cy="2804449"/>
                    </a:xfrm>
                    <a:prstGeom prst="rect">
                      <a:avLst/>
                    </a:prstGeom>
                    <a:noFill/>
                  </pic:spPr>
                </pic:pic>
              </a:graphicData>
            </a:graphic>
          </wp:inline>
        </w:drawing>
      </w:r>
    </w:p>
    <w:p w14:paraId="2A163FAF"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eastAsia="en-GB" w:bidi="ar-SA"/>
        </w:rPr>
      </w:pPr>
      <w:bookmarkStart w:id="35" w:name="_Toc98173473"/>
      <w:bookmarkStart w:id="36" w:name="_Toc98246793"/>
      <w:bookmarkStart w:id="37" w:name="_Toc100834548"/>
      <w:r w:rsidRPr="00A929E0">
        <w:rPr>
          <w:rFonts w:ascii="Calibri" w:hAnsi="Calibri" w:cs="Times New Roman"/>
          <w:b/>
          <w:i/>
          <w:color w:val="002060"/>
          <w:sz w:val="20"/>
          <w:szCs w:val="18"/>
          <w:lang w:val="en-ZA" w:eastAsia="en-GB" w:bidi="ar-SA"/>
        </w:rPr>
        <w:t>AIS</w:t>
      </w:r>
      <w:bookmarkEnd w:id="35"/>
      <w:bookmarkEnd w:id="36"/>
      <w:bookmarkEnd w:id="37"/>
    </w:p>
    <w:p w14:paraId="10B9E786" w14:textId="77777777" w:rsidR="005D1613" w:rsidRPr="00A929E0" w:rsidRDefault="005D1613" w:rsidP="00092FF0">
      <w:pPr>
        <w:pStyle w:val="BodyText"/>
        <w:rPr>
          <w:lang w:val="en-GB" w:eastAsia="en-ZA" w:bidi="ar-SA"/>
        </w:rPr>
      </w:pPr>
      <w:r w:rsidRPr="00A929E0">
        <w:rPr>
          <w:lang w:val="en-ZA" w:bidi="ar-SA"/>
        </w:rPr>
        <w:t>Fee amounts specifically for biosecurity-related permits were sourced for New Zealand and Australia which are substantially more nuanced/complex when compared with the South African fee structure.</w:t>
      </w:r>
      <w:r w:rsidRPr="00A929E0">
        <w:rPr>
          <w:lang w:val="en-GB" w:eastAsia="en-ZA" w:bidi="ar-SA"/>
        </w:rPr>
        <w:t xml:space="preserve"> Fees in South Africa are 84% less than the international average even after adjustment for inflation. In addition, South African permits are valid up to 10 years whereas permits in Queensland, for example, are valid for up to 3 years. </w:t>
      </w:r>
    </w:p>
    <w:p w14:paraId="46F3C7C3" w14:textId="445B52E3" w:rsidR="005D1613" w:rsidRPr="00A929E0" w:rsidRDefault="005D1613" w:rsidP="00D91FCD">
      <w:pPr>
        <w:pStyle w:val="Caption"/>
        <w:rPr>
          <w:lang w:val="en-ZA" w:bidi="ar-SA"/>
        </w:rPr>
      </w:pPr>
      <w:r w:rsidRPr="00A929E0">
        <w:rPr>
          <w:lang w:val="en-ZA" w:bidi="ar-SA"/>
        </w:rPr>
        <w:lastRenderedPageBreak/>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7</w:t>
      </w:r>
      <w:r w:rsidRPr="00A929E0">
        <w:rPr>
          <w:lang w:val="en-ZA" w:bidi="ar-SA"/>
        </w:rPr>
        <w:fldChar w:fldCharType="end"/>
      </w:r>
      <w:r w:rsidRPr="00A929E0">
        <w:rPr>
          <w:lang w:val="en-ZA" w:bidi="ar-SA"/>
        </w:rPr>
        <w:t xml:space="preserve"> Benchmarked international AIS permit fees converted to Rand using PPP exchange rates</w:t>
      </w:r>
    </w:p>
    <w:p w14:paraId="114353A4" w14:textId="77777777" w:rsidR="005D1613" w:rsidRPr="00A929E0" w:rsidRDefault="005D1613" w:rsidP="005D1613">
      <w:pPr>
        <w:autoSpaceDE/>
        <w:autoSpaceDN/>
        <w:adjustRightInd/>
        <w:spacing w:after="0" w:line="240" w:lineRule="auto"/>
        <w:jc w:val="both"/>
        <w:rPr>
          <w:rFonts w:ascii="Calibri" w:hAnsi="Calibri" w:cs="Times New Roman"/>
          <w:szCs w:val="20"/>
          <w:lang w:val="en-ZA" w:bidi="ar-SA"/>
        </w:rPr>
      </w:pPr>
      <w:r w:rsidRPr="00A929E0">
        <w:rPr>
          <w:rFonts w:ascii="Calibri" w:hAnsi="Calibri" w:cs="Times New Roman"/>
          <w:noProof/>
          <w:szCs w:val="20"/>
          <w:lang w:val="en-ZA" w:bidi="ar-SA"/>
        </w:rPr>
        <w:drawing>
          <wp:inline distT="0" distB="0" distL="0" distR="0" wp14:anchorId="237D04BC" wp14:editId="0E2B6516">
            <wp:extent cx="5195454" cy="867870"/>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0948" cy="877140"/>
                    </a:xfrm>
                    <a:prstGeom prst="rect">
                      <a:avLst/>
                    </a:prstGeom>
                    <a:noFill/>
                    <a:ln>
                      <a:noFill/>
                    </a:ln>
                  </pic:spPr>
                </pic:pic>
              </a:graphicData>
            </a:graphic>
          </wp:inline>
        </w:drawing>
      </w:r>
    </w:p>
    <w:p w14:paraId="31D92325" w14:textId="77777777" w:rsidR="005D1613" w:rsidRPr="00A929E0" w:rsidRDefault="005D1613" w:rsidP="005D1613">
      <w:pPr>
        <w:keepNext/>
        <w:tabs>
          <w:tab w:val="left" w:pos="1134"/>
        </w:tabs>
        <w:autoSpaceDE/>
        <w:autoSpaceDN/>
        <w:adjustRightInd/>
        <w:spacing w:before="240" w:after="120" w:line="360" w:lineRule="auto"/>
        <w:ind w:left="720"/>
        <w:jc w:val="both"/>
        <w:outlineLvl w:val="2"/>
        <w:rPr>
          <w:rFonts w:ascii="Calibri" w:hAnsi="Calibri" w:cs="Times New Roman"/>
          <w:b/>
          <w:i/>
          <w:color w:val="002060"/>
          <w:sz w:val="20"/>
          <w:szCs w:val="18"/>
          <w:lang w:val="en-ZA" w:eastAsia="en-GB" w:bidi="ar-SA"/>
        </w:rPr>
      </w:pPr>
      <w:bookmarkStart w:id="38" w:name="_Toc98173474"/>
      <w:bookmarkStart w:id="39" w:name="_Toc98246794"/>
      <w:bookmarkStart w:id="40" w:name="_Toc100834549"/>
      <w:r w:rsidRPr="00A929E0">
        <w:rPr>
          <w:rFonts w:ascii="Calibri" w:hAnsi="Calibri" w:cs="Times New Roman"/>
          <w:b/>
          <w:i/>
          <w:color w:val="002060"/>
          <w:sz w:val="20"/>
          <w:szCs w:val="18"/>
          <w:lang w:val="en-ZA" w:eastAsia="en-GB" w:bidi="ar-SA"/>
        </w:rPr>
        <w:t>Hunting and fishing</w:t>
      </w:r>
      <w:bookmarkEnd w:id="38"/>
      <w:bookmarkEnd w:id="39"/>
      <w:bookmarkEnd w:id="40"/>
    </w:p>
    <w:p w14:paraId="722604D3" w14:textId="34AFE15B" w:rsidR="005D1613" w:rsidRPr="00A929E0" w:rsidRDefault="005D1613" w:rsidP="00092FF0">
      <w:pPr>
        <w:pStyle w:val="BodyText"/>
        <w:rPr>
          <w:lang w:val="en-ZA" w:bidi="ar-SA"/>
        </w:rPr>
      </w:pPr>
      <w:r w:rsidRPr="00A929E0">
        <w:rPr>
          <w:lang w:val="en-ZA" w:bidi="ar-SA"/>
        </w:rPr>
        <w:t>Hunting permit and licence fees are particularly difficult to benchmark between countries given different legislative frameworks and approaches to regulation. In South African,</w:t>
      </w:r>
      <w:r w:rsidRPr="00A929E0">
        <w:rPr>
          <w:lang w:val="en-ZA" w:eastAsia="en-GB" w:bidi="ar-SA"/>
        </w:rPr>
        <w:t xml:space="preserve"> landowners essentially have ownership over game as opposed to other countries such as Kenya, Tanzania and Mozambique where the state has ownership or ‘sovereign right’ over </w:t>
      </w:r>
      <w:proofErr w:type="gramStart"/>
      <w:r w:rsidRPr="00A929E0">
        <w:rPr>
          <w:lang w:val="en-ZA" w:eastAsia="en-GB" w:bidi="ar-SA"/>
        </w:rPr>
        <w:t>the majority of</w:t>
      </w:r>
      <w:proofErr w:type="gramEnd"/>
      <w:r w:rsidRPr="00A929E0">
        <w:rPr>
          <w:lang w:val="en-ZA" w:eastAsia="en-GB" w:bidi="ar-SA"/>
        </w:rPr>
        <w:t xml:space="preserve"> wildlife. </w:t>
      </w:r>
    </w:p>
    <w:p w14:paraId="6C185A0E" w14:textId="17719205" w:rsidR="005D1613" w:rsidRPr="00A929E0" w:rsidRDefault="005D1613" w:rsidP="00092FF0">
      <w:pPr>
        <w:pStyle w:val="BodyText"/>
        <w:rPr>
          <w:lang w:val="en-GB" w:eastAsia="en-ZA" w:bidi="ar-SA"/>
        </w:rPr>
      </w:pPr>
      <w:r w:rsidRPr="00A929E0">
        <w:rPr>
          <w:lang w:val="en-GB" w:eastAsia="en-ZA" w:bidi="ar-SA"/>
        </w:rPr>
        <w:t>For citizens, South Africa has somewhat lower general hunting licence fees (30% below the international average), higher hunting guide / outfitter licence fees (</w:t>
      </w:r>
      <w:r w:rsidR="00462C79">
        <w:rPr>
          <w:lang w:val="en-GB" w:eastAsia="en-ZA" w:bidi="ar-SA"/>
        </w:rPr>
        <w:t>37</w:t>
      </w:r>
      <w:r w:rsidRPr="00A929E0">
        <w:rPr>
          <w:lang w:val="en-GB" w:eastAsia="en-ZA" w:bidi="ar-SA"/>
        </w:rPr>
        <w:t>% above the international average) and</w:t>
      </w:r>
      <w:r w:rsidR="00462C79">
        <w:rPr>
          <w:lang w:val="en-GB" w:eastAsia="en-ZA" w:bidi="ar-SA"/>
        </w:rPr>
        <w:t xml:space="preserve"> substantially</w:t>
      </w:r>
      <w:r w:rsidRPr="00A929E0">
        <w:rPr>
          <w:lang w:val="en-GB" w:eastAsia="en-ZA" w:bidi="ar-SA"/>
        </w:rPr>
        <w:t xml:space="preserve"> lower professional hunter licence fees (8</w:t>
      </w:r>
      <w:r w:rsidR="00462C79">
        <w:rPr>
          <w:lang w:val="en-GB" w:eastAsia="en-ZA" w:bidi="ar-SA"/>
        </w:rPr>
        <w:t>2</w:t>
      </w:r>
      <w:r w:rsidRPr="00A929E0">
        <w:rPr>
          <w:lang w:val="en-GB" w:eastAsia="en-ZA" w:bidi="ar-SA"/>
        </w:rPr>
        <w:t>% below the international average without adjusting for inflation). These differences are accentuated when South African fees are compared to the non-citizen fees charged by some other countries.</w:t>
      </w:r>
    </w:p>
    <w:p w14:paraId="7D43B1E2" w14:textId="6C6AA475" w:rsidR="005D1613" w:rsidRPr="00A929E0"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8</w:t>
      </w:r>
      <w:r w:rsidRPr="00A929E0">
        <w:rPr>
          <w:lang w:val="en-ZA" w:bidi="ar-SA"/>
        </w:rPr>
        <w:fldChar w:fldCharType="end"/>
      </w:r>
      <w:r w:rsidRPr="00A929E0">
        <w:rPr>
          <w:lang w:val="en-ZA" w:bidi="ar-SA"/>
        </w:rPr>
        <w:t xml:space="preserve"> Benchmarked international hunting licence fees converted to Rand using PPP exchange rates</w:t>
      </w:r>
    </w:p>
    <w:p w14:paraId="290C3366" w14:textId="449F2F77" w:rsidR="005D1613" w:rsidRPr="00A929E0" w:rsidRDefault="00120B44" w:rsidP="005D1613">
      <w:pPr>
        <w:autoSpaceDE/>
        <w:autoSpaceDN/>
        <w:adjustRightInd/>
        <w:spacing w:after="0" w:line="240" w:lineRule="auto"/>
        <w:ind w:left="-284"/>
        <w:jc w:val="both"/>
        <w:rPr>
          <w:rFonts w:ascii="Calibri" w:hAnsi="Calibri" w:cs="Times New Roman"/>
          <w:szCs w:val="20"/>
          <w:lang w:val="en-ZA" w:eastAsia="en-ZA" w:bidi="ar-SA"/>
        </w:rPr>
      </w:pPr>
      <w:r w:rsidRPr="00120B44">
        <w:rPr>
          <w:noProof/>
        </w:rPr>
        <w:drawing>
          <wp:inline distT="0" distB="0" distL="0" distR="0" wp14:anchorId="49F49A3E" wp14:editId="0A2D42AA">
            <wp:extent cx="5755640" cy="2140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2140585"/>
                    </a:xfrm>
                    <a:prstGeom prst="rect">
                      <a:avLst/>
                    </a:prstGeom>
                    <a:noFill/>
                    <a:ln>
                      <a:noFill/>
                    </a:ln>
                  </pic:spPr>
                </pic:pic>
              </a:graphicData>
            </a:graphic>
          </wp:inline>
        </w:drawing>
      </w:r>
    </w:p>
    <w:p w14:paraId="541C931D" w14:textId="77777777" w:rsidR="005D1613" w:rsidRPr="00A929E0" w:rsidRDefault="005D1613" w:rsidP="005D1613">
      <w:pPr>
        <w:autoSpaceDE/>
        <w:autoSpaceDN/>
        <w:adjustRightInd/>
        <w:spacing w:after="0" w:line="240" w:lineRule="auto"/>
        <w:jc w:val="both"/>
        <w:rPr>
          <w:rFonts w:ascii="Calibri" w:hAnsi="Calibri" w:cs="Times New Roman"/>
          <w:szCs w:val="20"/>
          <w:lang w:val="en-ZA" w:eastAsia="en-ZA" w:bidi="ar-SA"/>
        </w:rPr>
      </w:pPr>
    </w:p>
    <w:p w14:paraId="6744AF2D" w14:textId="77777777" w:rsidR="005D1613" w:rsidRPr="00A929E0" w:rsidRDefault="005D1613" w:rsidP="005D1613">
      <w:pPr>
        <w:autoSpaceDE/>
        <w:autoSpaceDN/>
        <w:adjustRightInd/>
        <w:spacing w:after="0" w:line="240" w:lineRule="auto"/>
        <w:jc w:val="both"/>
        <w:rPr>
          <w:rFonts w:ascii="Calibri" w:hAnsi="Calibri" w:cs="Times New Roman"/>
          <w:szCs w:val="20"/>
          <w:lang w:val="en-ZA" w:eastAsia="en-ZA" w:bidi="ar-SA"/>
        </w:rPr>
      </w:pPr>
    </w:p>
    <w:p w14:paraId="510143EA" w14:textId="7C92D5B9" w:rsidR="005D1613" w:rsidRPr="00A929E0" w:rsidRDefault="005D1613" w:rsidP="00092FF0">
      <w:pPr>
        <w:pStyle w:val="BodyText"/>
        <w:rPr>
          <w:lang w:val="en-GB" w:eastAsia="en-ZA" w:bidi="ar-SA"/>
        </w:rPr>
      </w:pPr>
      <w:r w:rsidRPr="00A929E0">
        <w:rPr>
          <w:lang w:val="en-ZA" w:eastAsia="en-ZA" w:bidi="ar-SA"/>
        </w:rPr>
        <w:t xml:space="preserve">Hunting </w:t>
      </w:r>
      <w:r w:rsidRPr="00A929E0">
        <w:rPr>
          <w:lang w:val="en-GB" w:eastAsia="en-ZA" w:bidi="ar-SA"/>
        </w:rPr>
        <w:t>fees per animal are less commonly charged than fees per hunter. Benchmarking focused on Namibia and Botswana given the similarity of species hunted there and limited clearly comparable data from elsewhere. The average for South Africa is between 3</w:t>
      </w:r>
      <w:r w:rsidR="00DA35FF">
        <w:rPr>
          <w:lang w:val="en-GB" w:eastAsia="en-ZA" w:bidi="ar-SA"/>
        </w:rPr>
        <w:t>5</w:t>
      </w:r>
      <w:r w:rsidRPr="00A929E0">
        <w:rPr>
          <w:lang w:val="en-GB" w:eastAsia="en-ZA" w:bidi="ar-SA"/>
        </w:rPr>
        <w:t>% and 7</w:t>
      </w:r>
      <w:r w:rsidR="00DA35FF">
        <w:rPr>
          <w:lang w:val="en-GB" w:eastAsia="en-ZA" w:bidi="ar-SA"/>
        </w:rPr>
        <w:t>6</w:t>
      </w:r>
      <w:r w:rsidRPr="00A929E0">
        <w:rPr>
          <w:lang w:val="en-GB" w:eastAsia="en-ZA" w:bidi="ar-SA"/>
        </w:rPr>
        <w:t>% lower for than for Namibia and Botswana. However, the R5,300 fee charged for rhino, lion and leopard hunting is higher than for Namibia and Botswana albeit not for non-citizen hunter</w:t>
      </w:r>
      <w:r w:rsidR="00271E2E">
        <w:rPr>
          <w:lang w:val="en-GB" w:eastAsia="en-ZA" w:bidi="ar-SA"/>
        </w:rPr>
        <w:t>s</w:t>
      </w:r>
      <w:r w:rsidRPr="00A929E0">
        <w:rPr>
          <w:lang w:val="en-GB" w:eastAsia="en-ZA" w:bidi="ar-SA"/>
        </w:rPr>
        <w:t xml:space="preserve"> that are charged three to four times more in Botswana.</w:t>
      </w:r>
    </w:p>
    <w:p w14:paraId="649F672E" w14:textId="77777777" w:rsidR="00173953" w:rsidRDefault="00173953" w:rsidP="00092FF0">
      <w:pPr>
        <w:pStyle w:val="BodyText"/>
        <w:rPr>
          <w:lang w:val="en-GB" w:eastAsia="en-ZA" w:bidi="ar-SA"/>
        </w:rPr>
      </w:pPr>
    </w:p>
    <w:p w14:paraId="3A559FDB" w14:textId="77777777" w:rsidR="004F0B7E" w:rsidRPr="00A929E0" w:rsidRDefault="004F0B7E" w:rsidP="00092FF0">
      <w:pPr>
        <w:pStyle w:val="BodyText"/>
        <w:rPr>
          <w:lang w:val="en-GB" w:eastAsia="en-ZA" w:bidi="ar-SA"/>
        </w:rPr>
      </w:pPr>
    </w:p>
    <w:p w14:paraId="3897376F" w14:textId="7AD23BD1" w:rsidR="005D1613" w:rsidRPr="00A929E0"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9</w:t>
      </w:r>
      <w:r w:rsidRPr="00A929E0">
        <w:rPr>
          <w:lang w:val="en-ZA" w:bidi="ar-SA"/>
        </w:rPr>
        <w:fldChar w:fldCharType="end"/>
      </w:r>
      <w:r w:rsidRPr="00A929E0">
        <w:rPr>
          <w:lang w:val="en-ZA" w:bidi="ar-SA"/>
        </w:rPr>
        <w:t xml:space="preserve"> Benchmarked international per animal hunting permit fees converted to Rand using PPP exchange rates</w:t>
      </w:r>
    </w:p>
    <w:p w14:paraId="1C36657C" w14:textId="76592195" w:rsidR="005D1613" w:rsidRPr="00A929E0" w:rsidRDefault="00DA35FF" w:rsidP="005D1613">
      <w:pPr>
        <w:autoSpaceDE/>
        <w:autoSpaceDN/>
        <w:adjustRightInd/>
        <w:spacing w:after="0" w:line="240" w:lineRule="auto"/>
        <w:jc w:val="both"/>
        <w:rPr>
          <w:rFonts w:ascii="Calibri" w:hAnsi="Calibri" w:cs="Times New Roman"/>
          <w:szCs w:val="20"/>
          <w:lang w:val="en-ZA" w:eastAsia="en-ZA" w:bidi="ar-SA"/>
        </w:rPr>
      </w:pPr>
      <w:r w:rsidRPr="00DA35FF">
        <w:rPr>
          <w:noProof/>
        </w:rPr>
        <w:drawing>
          <wp:inline distT="0" distB="0" distL="0" distR="0" wp14:anchorId="7ABC2866" wp14:editId="3BB742F6">
            <wp:extent cx="5755640" cy="2805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640" cy="2805430"/>
                    </a:xfrm>
                    <a:prstGeom prst="rect">
                      <a:avLst/>
                    </a:prstGeom>
                    <a:noFill/>
                    <a:ln>
                      <a:noFill/>
                    </a:ln>
                  </pic:spPr>
                </pic:pic>
              </a:graphicData>
            </a:graphic>
          </wp:inline>
        </w:drawing>
      </w:r>
    </w:p>
    <w:p w14:paraId="6DDFF673" w14:textId="77777777" w:rsidR="005D1613" w:rsidRPr="00A929E0" w:rsidRDefault="005D1613" w:rsidP="005D1613">
      <w:pPr>
        <w:autoSpaceDE/>
        <w:autoSpaceDN/>
        <w:adjustRightInd/>
        <w:spacing w:after="0" w:line="240" w:lineRule="auto"/>
        <w:jc w:val="both"/>
        <w:rPr>
          <w:rFonts w:ascii="Calibri" w:hAnsi="Calibri" w:cs="Times New Roman"/>
          <w:szCs w:val="20"/>
          <w:lang w:val="en-ZA" w:eastAsia="en-ZA" w:bidi="ar-SA"/>
        </w:rPr>
      </w:pPr>
    </w:p>
    <w:p w14:paraId="43FE80A7" w14:textId="552B9725" w:rsidR="005D1613" w:rsidRPr="00A929E0" w:rsidRDefault="005D1613" w:rsidP="00092FF0">
      <w:pPr>
        <w:pStyle w:val="BodyText"/>
        <w:rPr>
          <w:lang w:val="en-GB" w:eastAsia="en-ZA" w:bidi="ar-SA"/>
        </w:rPr>
      </w:pPr>
      <w:r w:rsidRPr="00A929E0">
        <w:rPr>
          <w:lang w:val="en-GB" w:eastAsia="en-ZA" w:bidi="ar-SA"/>
        </w:rPr>
        <w:t>South Africa has the lowest average fee for recreational fishing at 6</w:t>
      </w:r>
      <w:r w:rsidR="00AE389D">
        <w:rPr>
          <w:lang w:val="en-GB" w:eastAsia="en-ZA" w:bidi="ar-SA"/>
        </w:rPr>
        <w:t>8</w:t>
      </w:r>
      <w:r w:rsidRPr="00A929E0">
        <w:rPr>
          <w:lang w:val="en-GB" w:eastAsia="en-ZA" w:bidi="ar-SA"/>
        </w:rPr>
        <w:t xml:space="preserve">% below the average for the benchmarked countries without inflation adjustments but reduced to </w:t>
      </w:r>
      <w:r w:rsidR="00AE389D">
        <w:rPr>
          <w:lang w:val="en-GB" w:eastAsia="en-ZA" w:bidi="ar-SA"/>
        </w:rPr>
        <w:t>34</w:t>
      </w:r>
      <w:r w:rsidRPr="00A929E0">
        <w:rPr>
          <w:lang w:val="en-GB" w:eastAsia="en-ZA" w:bidi="ar-SA"/>
        </w:rPr>
        <w:t>% below with inflation adjustments. The higher fees charged for non-citizens in Botswana and Ontario accentuate these differences further.</w:t>
      </w:r>
    </w:p>
    <w:p w14:paraId="159A6FA5" w14:textId="779D7EC4" w:rsidR="005D1613" w:rsidRPr="00A929E0" w:rsidRDefault="005D1613" w:rsidP="00D91FCD">
      <w:pPr>
        <w:pStyle w:val="Caption"/>
        <w:rPr>
          <w:lang w:val="en-ZA" w:bidi="ar-SA"/>
        </w:rPr>
      </w:pPr>
      <w:r w:rsidRPr="00A929E0">
        <w:rPr>
          <w:lang w:val="en-ZA" w:bidi="ar-SA"/>
        </w:rPr>
        <w:t xml:space="preserve">Table </w:t>
      </w:r>
      <w:r w:rsidRPr="00A929E0">
        <w:rPr>
          <w:lang w:val="en-ZA" w:bidi="ar-SA"/>
        </w:rPr>
        <w:fldChar w:fldCharType="begin"/>
      </w:r>
      <w:r w:rsidRPr="00A929E0">
        <w:rPr>
          <w:lang w:val="en-ZA" w:bidi="ar-SA"/>
        </w:rPr>
        <w:instrText xml:space="preserve"> STYLEREF 1 \s </w:instrText>
      </w:r>
      <w:r w:rsidRPr="00A929E0">
        <w:rPr>
          <w:lang w:val="en-ZA" w:bidi="ar-SA"/>
        </w:rPr>
        <w:fldChar w:fldCharType="separate"/>
      </w:r>
      <w:r w:rsidR="004E7021">
        <w:rPr>
          <w:noProof/>
          <w:lang w:val="en-ZA" w:bidi="ar-SA"/>
        </w:rPr>
        <w:t>3</w:t>
      </w:r>
      <w:r w:rsidRPr="00A929E0">
        <w:rPr>
          <w:lang w:val="en-ZA" w:bidi="ar-SA"/>
        </w:rPr>
        <w:fldChar w:fldCharType="end"/>
      </w:r>
      <w:r w:rsidRPr="00A929E0">
        <w:rPr>
          <w:lang w:val="en-ZA" w:bidi="ar-SA"/>
        </w:rPr>
        <w:t>.</w:t>
      </w:r>
      <w:r w:rsidRPr="00A929E0">
        <w:rPr>
          <w:lang w:val="en-ZA" w:bidi="ar-SA"/>
        </w:rPr>
        <w:fldChar w:fldCharType="begin"/>
      </w:r>
      <w:r w:rsidRPr="00A929E0">
        <w:rPr>
          <w:lang w:val="en-ZA" w:bidi="ar-SA"/>
        </w:rPr>
        <w:instrText xml:space="preserve"> SEQ Table \* ARABIC \s 1 </w:instrText>
      </w:r>
      <w:r w:rsidRPr="00A929E0">
        <w:rPr>
          <w:lang w:val="en-ZA" w:bidi="ar-SA"/>
        </w:rPr>
        <w:fldChar w:fldCharType="separate"/>
      </w:r>
      <w:r w:rsidR="004E7021">
        <w:rPr>
          <w:noProof/>
          <w:lang w:val="en-ZA" w:bidi="ar-SA"/>
        </w:rPr>
        <w:t>10</w:t>
      </w:r>
      <w:r w:rsidRPr="00A929E0">
        <w:rPr>
          <w:lang w:val="en-ZA" w:bidi="ar-SA"/>
        </w:rPr>
        <w:fldChar w:fldCharType="end"/>
      </w:r>
      <w:r w:rsidRPr="00A929E0">
        <w:rPr>
          <w:lang w:val="en-ZA" w:bidi="ar-SA"/>
        </w:rPr>
        <w:t>: Benchmarked international recreational fishing fees converted to Rand using PPP exchange rates</w:t>
      </w:r>
    </w:p>
    <w:p w14:paraId="60B9D2C6" w14:textId="183BE946" w:rsidR="005D1613" w:rsidRPr="00A929E0" w:rsidRDefault="00AE389D" w:rsidP="005D1613">
      <w:pPr>
        <w:autoSpaceDE/>
        <w:autoSpaceDN/>
        <w:adjustRightInd/>
        <w:spacing w:after="0" w:line="240" w:lineRule="auto"/>
        <w:jc w:val="both"/>
        <w:rPr>
          <w:rFonts w:ascii="Calibri" w:hAnsi="Calibri" w:cs="Times New Roman"/>
          <w:szCs w:val="20"/>
          <w:lang w:val="en-ZA" w:bidi="ar-SA"/>
        </w:rPr>
      </w:pPr>
      <w:r w:rsidRPr="00AE389D">
        <w:rPr>
          <w:noProof/>
        </w:rPr>
        <w:drawing>
          <wp:inline distT="0" distB="0" distL="0" distR="0" wp14:anchorId="35251414" wp14:editId="4A4C3561">
            <wp:extent cx="5755640" cy="14827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1482725"/>
                    </a:xfrm>
                    <a:prstGeom prst="rect">
                      <a:avLst/>
                    </a:prstGeom>
                    <a:noFill/>
                    <a:ln>
                      <a:noFill/>
                    </a:ln>
                  </pic:spPr>
                </pic:pic>
              </a:graphicData>
            </a:graphic>
          </wp:inline>
        </w:drawing>
      </w:r>
    </w:p>
    <w:p w14:paraId="470D2175" w14:textId="25CE89F8" w:rsidR="00483E2D" w:rsidRDefault="00FC4001" w:rsidP="00711BFB">
      <w:pPr>
        <w:pStyle w:val="Heading2"/>
      </w:pPr>
      <w:bookmarkStart w:id="41" w:name="_Toc100834550"/>
      <w:r>
        <w:t xml:space="preserve">Permit and </w:t>
      </w:r>
      <w:proofErr w:type="spellStart"/>
      <w:r>
        <w:t>licence</w:t>
      </w:r>
      <w:proofErr w:type="spellEnd"/>
      <w:r>
        <w:t xml:space="preserve"> p</w:t>
      </w:r>
      <w:r w:rsidR="00483E2D">
        <w:t>rocessing costs</w:t>
      </w:r>
      <w:bookmarkEnd w:id="41"/>
    </w:p>
    <w:p w14:paraId="4BCB5689" w14:textId="3C1FE960" w:rsidR="00C909A3" w:rsidRPr="00575338" w:rsidRDefault="00C909A3" w:rsidP="00575338">
      <w:pPr>
        <w:pStyle w:val="BodyText"/>
      </w:pPr>
      <w:r>
        <w:t xml:space="preserve">Issuing authorities incur costs to provide permitting and </w:t>
      </w:r>
      <w:r w:rsidR="006A07D2">
        <w:t>licensing</w:t>
      </w:r>
      <w:r>
        <w:t xml:space="preserve"> services. These costs </w:t>
      </w:r>
      <w:proofErr w:type="gramStart"/>
      <w:r>
        <w:t>have to</w:t>
      </w:r>
      <w:proofErr w:type="gramEnd"/>
      <w:r>
        <w:t xml:space="preserve"> be funded by direct permit fees and/or through funding from the general fiscus (i.e. ultimately from taxpayers in general). In either case, it is </w:t>
      </w:r>
      <w:r w:rsidRPr="00575338">
        <w:t xml:space="preserve">important to understand and estimate the cost of the permitting and </w:t>
      </w:r>
      <w:r w:rsidR="006A07D2" w:rsidRPr="00575338">
        <w:t>licensing</w:t>
      </w:r>
      <w:r w:rsidRPr="00575338">
        <w:t xml:space="preserve"> services provided for the average individual permit per permit type. Data on key permit and </w:t>
      </w:r>
      <w:proofErr w:type="spellStart"/>
      <w:r w:rsidRPr="00575338">
        <w:t>licence</w:t>
      </w:r>
      <w:proofErr w:type="spellEnd"/>
      <w:r w:rsidRPr="00575338">
        <w:t xml:space="preserve"> processing was requested from each issuing authority to inform processing cost estimation. This included data on staff time spent on permit processing </w:t>
      </w:r>
      <w:r w:rsidRPr="00575338">
        <w:lastRenderedPageBreak/>
        <w:t xml:space="preserve">for each staff salary level, </w:t>
      </w:r>
      <w:proofErr w:type="spellStart"/>
      <w:r w:rsidRPr="00575338">
        <w:t>kilometres</w:t>
      </w:r>
      <w:proofErr w:type="spellEnd"/>
      <w:r w:rsidRPr="00575338">
        <w:t xml:space="preserve"> travelled as part of permit processing and other relevant costs.</w:t>
      </w:r>
    </w:p>
    <w:p w14:paraId="0039D393" w14:textId="36D78227" w:rsidR="00DA3A24" w:rsidRDefault="00FA4A97" w:rsidP="003B2D45">
      <w:pPr>
        <w:pStyle w:val="BodyText"/>
        <w:rPr>
          <w:lang w:val="en-ZA" w:bidi="ar-SA"/>
        </w:rPr>
      </w:pPr>
      <w:r w:rsidRPr="00FA4A97">
        <w:rPr>
          <w:lang w:val="en-ZA" w:bidi="ar-SA"/>
        </w:rPr>
        <w:t xml:space="preserve">A summary of the permit processing costs </w:t>
      </w:r>
      <w:r w:rsidR="00F554D4">
        <w:rPr>
          <w:lang w:val="en-ZA" w:bidi="ar-SA"/>
        </w:rPr>
        <w:t>relative to fees charged</w:t>
      </w:r>
      <w:r w:rsidR="002B2546">
        <w:rPr>
          <w:lang w:val="en-ZA" w:bidi="ar-SA"/>
        </w:rPr>
        <w:t xml:space="preserve"> </w:t>
      </w:r>
      <w:r w:rsidRPr="00FA4A97">
        <w:rPr>
          <w:lang w:val="en-ZA" w:bidi="ar-SA"/>
        </w:rPr>
        <w:t xml:space="preserve">for </w:t>
      </w:r>
      <w:r w:rsidR="002B2546">
        <w:rPr>
          <w:lang w:val="en-ZA" w:bidi="ar-SA"/>
        </w:rPr>
        <w:t xml:space="preserve">individual </w:t>
      </w:r>
      <w:r w:rsidRPr="00FA4A97">
        <w:rPr>
          <w:lang w:val="en-ZA" w:bidi="ar-SA"/>
        </w:rPr>
        <w:t xml:space="preserve">permits issued at the national level is provided in </w:t>
      </w:r>
      <w:r w:rsidRPr="00D241AC">
        <w:rPr>
          <w:lang w:val="en-ZA" w:bidi="ar-SA"/>
        </w:rPr>
        <w:fldChar w:fldCharType="begin"/>
      </w:r>
      <w:r w:rsidRPr="00D241AC">
        <w:rPr>
          <w:lang w:val="en-ZA" w:bidi="ar-SA"/>
        </w:rPr>
        <w:instrText xml:space="preserve"> REF _Ref87972498 </w:instrText>
      </w:r>
      <w:r w:rsidR="00D241AC" w:rsidRPr="00D241AC">
        <w:rPr>
          <w:lang w:val="en-ZA" w:bidi="ar-SA"/>
        </w:rPr>
        <w:instrText xml:space="preserve"> \* MERGEFORMAT </w:instrText>
      </w:r>
      <w:r w:rsidRPr="00D241AC">
        <w:rPr>
          <w:lang w:val="en-ZA" w:bidi="ar-SA"/>
        </w:rPr>
        <w:fldChar w:fldCharType="separate"/>
      </w:r>
      <w:r w:rsidR="004F713D" w:rsidRPr="00D241AC">
        <w:rPr>
          <w:bCs/>
          <w:lang w:val="en-ZA" w:bidi="ar-SA"/>
        </w:rPr>
        <w:t xml:space="preserve">Table </w:t>
      </w:r>
      <w:r w:rsidR="004F713D" w:rsidRPr="00D241AC">
        <w:rPr>
          <w:bCs/>
          <w:noProof/>
          <w:lang w:val="en-ZA" w:bidi="ar-SA"/>
        </w:rPr>
        <w:t>3</w:t>
      </w:r>
      <w:r w:rsidR="004F713D" w:rsidRPr="00D241AC">
        <w:rPr>
          <w:bCs/>
          <w:lang w:val="en-ZA" w:bidi="ar-SA"/>
        </w:rPr>
        <w:t>.</w:t>
      </w:r>
      <w:r w:rsidR="004F713D" w:rsidRPr="00D241AC">
        <w:rPr>
          <w:bCs/>
          <w:noProof/>
          <w:lang w:val="en-ZA" w:bidi="ar-SA"/>
        </w:rPr>
        <w:t>11</w:t>
      </w:r>
      <w:r w:rsidRPr="00D241AC">
        <w:rPr>
          <w:lang w:val="en-ZA" w:bidi="ar-SA"/>
        </w:rPr>
        <w:fldChar w:fldCharType="end"/>
      </w:r>
      <w:r w:rsidRPr="00D241AC">
        <w:rPr>
          <w:lang w:val="en-ZA" w:bidi="ar-SA"/>
        </w:rPr>
        <w:t>.</w:t>
      </w:r>
      <w:r w:rsidRPr="00FA4A97">
        <w:rPr>
          <w:lang w:val="en-ZA" w:bidi="ar-SA"/>
        </w:rPr>
        <w:t xml:space="preserve"> Of all the permits issued at the national level, only one has a corresponding fee that is higher than its associated processing cost, namely the CITES import permit specifically issued by the CITES Marine issuing authority. For all other permit types, the fees charged are lower than the processing costs – in many cases they are equivalent to less than 1% of processing costs.</w:t>
      </w:r>
    </w:p>
    <w:p w14:paraId="5F9FB1DC" w14:textId="1D80396D" w:rsidR="00FA4A97" w:rsidRDefault="00FA4A97" w:rsidP="00D91FCD">
      <w:pPr>
        <w:pStyle w:val="Caption"/>
        <w:rPr>
          <w:lang w:val="en-ZA" w:bidi="ar-SA"/>
        </w:rPr>
      </w:pPr>
      <w:bookmarkStart w:id="42" w:name="_Ref87972498"/>
      <w:r w:rsidRPr="00FA4A97">
        <w:rPr>
          <w:lang w:val="en-ZA" w:bidi="ar-SA"/>
        </w:rPr>
        <w:t xml:space="preserve">Table </w:t>
      </w:r>
      <w:r w:rsidRPr="00FA4A97">
        <w:rPr>
          <w:lang w:val="en-ZA" w:bidi="ar-SA"/>
        </w:rPr>
        <w:fldChar w:fldCharType="begin"/>
      </w:r>
      <w:r w:rsidRPr="00FA4A97">
        <w:rPr>
          <w:lang w:val="en-ZA" w:bidi="ar-SA"/>
        </w:rPr>
        <w:instrText xml:space="preserve"> STYLEREF 1 \s </w:instrText>
      </w:r>
      <w:r w:rsidRPr="00FA4A97">
        <w:rPr>
          <w:lang w:val="en-ZA" w:bidi="ar-SA"/>
        </w:rPr>
        <w:fldChar w:fldCharType="separate"/>
      </w:r>
      <w:r w:rsidR="004E7021">
        <w:rPr>
          <w:noProof/>
          <w:lang w:val="en-ZA" w:bidi="ar-SA"/>
        </w:rPr>
        <w:t>3</w:t>
      </w:r>
      <w:r w:rsidRPr="00FA4A97">
        <w:rPr>
          <w:lang w:val="en-ZA" w:bidi="ar-SA"/>
        </w:rPr>
        <w:fldChar w:fldCharType="end"/>
      </w:r>
      <w:r w:rsidRPr="00FA4A97">
        <w:rPr>
          <w:lang w:val="en-ZA" w:bidi="ar-SA"/>
        </w:rPr>
        <w:t>.</w:t>
      </w:r>
      <w:r w:rsidRPr="00FA4A97">
        <w:rPr>
          <w:lang w:val="en-ZA" w:bidi="ar-SA"/>
        </w:rPr>
        <w:fldChar w:fldCharType="begin"/>
      </w:r>
      <w:r w:rsidRPr="00FA4A97">
        <w:rPr>
          <w:lang w:val="en-ZA" w:bidi="ar-SA"/>
        </w:rPr>
        <w:instrText xml:space="preserve"> SEQ Table \* ARABIC \s 1 </w:instrText>
      </w:r>
      <w:r w:rsidRPr="00FA4A97">
        <w:rPr>
          <w:lang w:val="en-ZA" w:bidi="ar-SA"/>
        </w:rPr>
        <w:fldChar w:fldCharType="separate"/>
      </w:r>
      <w:r w:rsidR="004E7021">
        <w:rPr>
          <w:noProof/>
          <w:lang w:val="en-ZA" w:bidi="ar-SA"/>
        </w:rPr>
        <w:t>11</w:t>
      </w:r>
      <w:r w:rsidRPr="00FA4A97">
        <w:rPr>
          <w:lang w:val="en-ZA" w:bidi="ar-SA"/>
        </w:rPr>
        <w:fldChar w:fldCharType="end"/>
      </w:r>
      <w:bookmarkEnd w:id="42"/>
      <w:r w:rsidRPr="00FA4A97">
        <w:rPr>
          <w:lang w:val="en-ZA" w:bidi="ar-SA"/>
        </w:rPr>
        <w:t xml:space="preserve"> </w:t>
      </w:r>
      <w:r w:rsidR="00E259EC">
        <w:rPr>
          <w:lang w:val="en-ZA" w:bidi="ar-SA"/>
        </w:rPr>
        <w:t>P</w:t>
      </w:r>
      <w:r w:rsidRPr="00FA4A97">
        <w:rPr>
          <w:lang w:val="en-ZA" w:bidi="ar-SA"/>
        </w:rPr>
        <w:t xml:space="preserve">rocessing costs </w:t>
      </w:r>
      <w:r w:rsidR="00E259EC">
        <w:rPr>
          <w:lang w:val="en-ZA" w:bidi="ar-SA"/>
        </w:rPr>
        <w:t>relative</w:t>
      </w:r>
      <w:r w:rsidR="005F6043">
        <w:rPr>
          <w:lang w:val="en-ZA" w:bidi="ar-SA"/>
        </w:rPr>
        <w:t xml:space="preserve"> to</w:t>
      </w:r>
      <w:r w:rsidR="00E259EC">
        <w:rPr>
          <w:lang w:val="en-ZA" w:bidi="ar-SA"/>
        </w:rPr>
        <w:t xml:space="preserve"> </w:t>
      </w:r>
      <w:r w:rsidR="005F6043">
        <w:rPr>
          <w:lang w:val="en-ZA" w:bidi="ar-SA"/>
        </w:rPr>
        <w:t>permit fees charged</w:t>
      </w:r>
      <w:r w:rsidR="00C447AD" w:rsidRPr="00C447AD">
        <w:rPr>
          <w:lang w:val="en-ZA" w:bidi="ar-SA"/>
        </w:rPr>
        <w:t xml:space="preserve"> </w:t>
      </w:r>
      <w:r w:rsidR="00C447AD" w:rsidRPr="00FA4A97">
        <w:rPr>
          <w:lang w:val="en-ZA" w:bidi="ar-SA"/>
        </w:rPr>
        <w:t>fo</w:t>
      </w:r>
      <w:r w:rsidR="00C447AD">
        <w:rPr>
          <w:lang w:val="en-ZA" w:bidi="ar-SA"/>
        </w:rPr>
        <w:t>r</w:t>
      </w:r>
      <w:r w:rsidR="00C447AD" w:rsidRPr="00FA4A97">
        <w:rPr>
          <w:lang w:val="en-ZA" w:bidi="ar-SA"/>
        </w:rPr>
        <w:t xml:space="preserve"> </w:t>
      </w:r>
      <w:r w:rsidR="006D1139">
        <w:rPr>
          <w:lang w:val="en-ZA" w:bidi="ar-SA"/>
        </w:rPr>
        <w:t xml:space="preserve">individual </w:t>
      </w:r>
      <w:r w:rsidR="00C447AD" w:rsidRPr="00FA4A97">
        <w:rPr>
          <w:lang w:val="en-ZA" w:bidi="ar-SA"/>
        </w:rPr>
        <w:t xml:space="preserve">permits issued at the national </w:t>
      </w:r>
      <w:r w:rsidR="0067365E">
        <w:rPr>
          <w:lang w:val="en-ZA" w:bidi="ar-SA"/>
        </w:rPr>
        <w:t>issuing authorities</w:t>
      </w:r>
    </w:p>
    <w:p w14:paraId="1599511E" w14:textId="77287AE9" w:rsidR="00E418C0" w:rsidRPr="00355438" w:rsidRDefault="00355438" w:rsidP="00FA4A97">
      <w:pPr>
        <w:autoSpaceDE/>
        <w:autoSpaceDN/>
        <w:adjustRightInd/>
        <w:spacing w:before="240" w:after="120" w:line="240" w:lineRule="auto"/>
        <w:jc w:val="both"/>
        <w:rPr>
          <w:rFonts w:ascii="Calibri" w:hAnsi="Calibri" w:cs="Times New Roman"/>
          <w:bCs/>
          <w:color w:val="2F5496"/>
          <w:sz w:val="20"/>
          <w:szCs w:val="20"/>
          <w:lang w:val="en-ZA" w:bidi="ar-SA"/>
        </w:rPr>
      </w:pPr>
      <w:r w:rsidRPr="00355438">
        <w:rPr>
          <w:noProof/>
        </w:rPr>
        <w:drawing>
          <wp:inline distT="0" distB="0" distL="0" distR="0" wp14:anchorId="3252E2BA" wp14:editId="736EA4AB">
            <wp:extent cx="5121144" cy="61912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7974" cy="6211596"/>
                    </a:xfrm>
                    <a:prstGeom prst="rect">
                      <a:avLst/>
                    </a:prstGeom>
                    <a:noFill/>
                    <a:ln>
                      <a:noFill/>
                    </a:ln>
                  </pic:spPr>
                </pic:pic>
              </a:graphicData>
            </a:graphic>
          </wp:inline>
        </w:drawing>
      </w:r>
    </w:p>
    <w:p w14:paraId="356C28EE" w14:textId="7D62F857" w:rsidR="00FA4A97" w:rsidRPr="00FA4A97" w:rsidRDefault="00FA4A97" w:rsidP="00FA4A97">
      <w:pPr>
        <w:autoSpaceDE/>
        <w:autoSpaceDN/>
        <w:adjustRightInd/>
        <w:spacing w:after="0" w:line="240" w:lineRule="auto"/>
        <w:jc w:val="both"/>
        <w:rPr>
          <w:rFonts w:ascii="Calibri" w:hAnsi="Calibri" w:cs="Times New Roman"/>
          <w:szCs w:val="20"/>
          <w:lang w:val="en-ZA" w:bidi="ar-SA"/>
        </w:rPr>
      </w:pPr>
    </w:p>
    <w:p w14:paraId="2F2A9F4F" w14:textId="3872FD16" w:rsidR="001C313C" w:rsidRDefault="006E1E28" w:rsidP="0019258E">
      <w:pPr>
        <w:pStyle w:val="BodyText"/>
        <w:rPr>
          <w:lang w:val="en-ZA" w:bidi="ar-SA"/>
        </w:rPr>
      </w:pPr>
      <w:r>
        <w:rPr>
          <w:lang w:val="en-ZA" w:bidi="ar-SA"/>
        </w:rPr>
        <w:t xml:space="preserve">For </w:t>
      </w:r>
      <w:r w:rsidR="00F31F96">
        <w:rPr>
          <w:lang w:val="en-ZA" w:bidi="ar-SA"/>
        </w:rPr>
        <w:t xml:space="preserve">the provinces, sometime extremely </w:t>
      </w:r>
      <w:r w:rsidR="0099728C">
        <w:rPr>
          <w:lang w:val="en-ZA" w:bidi="ar-SA"/>
        </w:rPr>
        <w:t xml:space="preserve">high </w:t>
      </w:r>
      <w:r w:rsidR="00F31F96">
        <w:rPr>
          <w:lang w:val="en-ZA" w:bidi="ar-SA"/>
        </w:rPr>
        <w:t xml:space="preserve">levels of </w:t>
      </w:r>
      <w:r w:rsidRPr="00FA4A97">
        <w:rPr>
          <w:lang w:val="en-ZA" w:bidi="ar-SA"/>
        </w:rPr>
        <w:t>variation w</w:t>
      </w:r>
      <w:r w:rsidR="000C3A96">
        <w:rPr>
          <w:lang w:val="en-ZA" w:bidi="ar-SA"/>
        </w:rPr>
        <w:t>ere</w:t>
      </w:r>
      <w:r w:rsidRPr="00FA4A97">
        <w:rPr>
          <w:lang w:val="en-ZA" w:bidi="ar-SA"/>
        </w:rPr>
        <w:t xml:space="preserve"> found in the processing costs associated with </w:t>
      </w:r>
      <w:r w:rsidR="00780970">
        <w:rPr>
          <w:lang w:val="en-ZA" w:bidi="ar-SA"/>
        </w:rPr>
        <w:t xml:space="preserve">the same or similar </w:t>
      </w:r>
      <w:r w:rsidRPr="00FA4A97">
        <w:rPr>
          <w:lang w:val="en-ZA" w:bidi="ar-SA"/>
        </w:rPr>
        <w:t xml:space="preserve">permits. For example, </w:t>
      </w:r>
      <w:r w:rsidR="00780970">
        <w:rPr>
          <w:lang w:val="en-ZA" w:bidi="ar-SA"/>
        </w:rPr>
        <w:t>data f</w:t>
      </w:r>
      <w:r w:rsidR="00E23AE7">
        <w:rPr>
          <w:lang w:val="en-ZA" w:bidi="ar-SA"/>
        </w:rPr>
        <w:t>r</w:t>
      </w:r>
      <w:r w:rsidR="00780970">
        <w:rPr>
          <w:lang w:val="en-ZA" w:bidi="ar-SA"/>
        </w:rPr>
        <w:t xml:space="preserve">om issuing authorities indicated that </w:t>
      </w:r>
      <w:r w:rsidRPr="00FA4A97">
        <w:rPr>
          <w:lang w:val="en-ZA" w:bidi="ar-SA"/>
        </w:rPr>
        <w:t>processing a permit to pick or collect plant</w:t>
      </w:r>
      <w:r w:rsidR="00780970">
        <w:rPr>
          <w:lang w:val="en-ZA" w:bidi="ar-SA"/>
        </w:rPr>
        <w:t>s</w:t>
      </w:r>
      <w:r w:rsidRPr="00FA4A97">
        <w:rPr>
          <w:lang w:val="en-ZA" w:bidi="ar-SA"/>
        </w:rPr>
        <w:t xml:space="preserve"> has an associated cost of R309 in Gauteng, R1,425 in the Eastern Cape, R4,377 in KwaZulu-Natal, R52,728 in Limpopo, and R64,509 in the Northern Cape</w:t>
      </w:r>
      <w:r w:rsidR="00390884">
        <w:rPr>
          <w:lang w:val="en-ZA" w:bidi="ar-SA"/>
        </w:rPr>
        <w:t xml:space="preserve"> (</w:t>
      </w:r>
      <w:r w:rsidR="00FD41D4">
        <w:rPr>
          <w:lang w:val="en-ZA" w:bidi="ar-SA"/>
        </w:rPr>
        <w:t xml:space="preserve">Appendix </w:t>
      </w:r>
      <w:r w:rsidR="00F76292">
        <w:rPr>
          <w:lang w:val="en-ZA" w:bidi="ar-SA"/>
        </w:rPr>
        <w:t>2</w:t>
      </w:r>
      <w:r w:rsidR="00FD41D4">
        <w:rPr>
          <w:lang w:val="en-ZA" w:bidi="ar-SA"/>
        </w:rPr>
        <w:t xml:space="preserve"> provides more detailed examples</w:t>
      </w:r>
      <w:r w:rsidR="00390884">
        <w:rPr>
          <w:lang w:val="en-ZA" w:bidi="ar-SA"/>
        </w:rPr>
        <w:t xml:space="preserve"> of processing cost estimates per province)</w:t>
      </w:r>
      <w:r w:rsidR="002440AE">
        <w:rPr>
          <w:lang w:val="en-ZA" w:bidi="ar-SA"/>
        </w:rPr>
        <w:t xml:space="preserve">. </w:t>
      </w:r>
      <w:r w:rsidRPr="00FA4A97">
        <w:rPr>
          <w:lang w:val="en-ZA" w:bidi="ar-SA"/>
        </w:rPr>
        <w:t>While variability is to be expected, the extreme variability of permit processing cost estimates between provinces are a concern</w:t>
      </w:r>
      <w:r w:rsidR="00761DD1">
        <w:rPr>
          <w:lang w:val="en-ZA" w:bidi="ar-SA"/>
        </w:rPr>
        <w:t xml:space="preserve"> and </w:t>
      </w:r>
      <w:r w:rsidR="003D167E">
        <w:rPr>
          <w:lang w:val="en-ZA" w:bidi="ar-SA"/>
        </w:rPr>
        <w:t>more accurate estimation are likely to be needed if they are to be used in fee determination</w:t>
      </w:r>
      <w:r w:rsidRPr="00FA4A97">
        <w:rPr>
          <w:lang w:val="en-ZA" w:bidi="ar-SA"/>
        </w:rPr>
        <w:t>.</w:t>
      </w:r>
      <w:r w:rsidR="00EE63A5">
        <w:rPr>
          <w:lang w:val="en-ZA" w:bidi="ar-SA"/>
        </w:rPr>
        <w:t xml:space="preserve"> </w:t>
      </w:r>
      <w:r>
        <w:rPr>
          <w:rFonts w:ascii="Calibri" w:hAnsi="Calibri" w:cs="Times New Roman"/>
          <w:szCs w:val="20"/>
          <w:lang w:val="en-ZA" w:bidi="ar-SA"/>
        </w:rPr>
        <w:t xml:space="preserve"> </w:t>
      </w:r>
      <w:r w:rsidR="006A44B7" w:rsidRPr="00F220E4">
        <w:rPr>
          <w:lang w:val="en-ZA" w:bidi="ar-SA"/>
        </w:rPr>
        <w:fldChar w:fldCharType="begin"/>
      </w:r>
      <w:r w:rsidR="006A44B7" w:rsidRPr="00F220E4">
        <w:rPr>
          <w:lang w:val="en-ZA" w:bidi="ar-SA"/>
        </w:rPr>
        <w:instrText xml:space="preserve"> REF _Ref87973254 </w:instrText>
      </w:r>
      <w:r w:rsidR="00961610" w:rsidRPr="00F220E4">
        <w:rPr>
          <w:lang w:val="en-ZA" w:bidi="ar-SA"/>
        </w:rPr>
        <w:instrText xml:space="preserve"> \* MERGEFORMAT </w:instrText>
      </w:r>
      <w:r w:rsidR="006A44B7" w:rsidRPr="00F220E4">
        <w:rPr>
          <w:lang w:val="en-ZA" w:bidi="ar-SA"/>
        </w:rPr>
        <w:fldChar w:fldCharType="separate"/>
      </w:r>
      <w:r w:rsidR="004F713D" w:rsidRPr="00F220E4">
        <w:rPr>
          <w:bCs/>
          <w:lang w:val="en-ZA" w:bidi="ar-SA"/>
        </w:rPr>
        <w:t xml:space="preserve">Table </w:t>
      </w:r>
      <w:r w:rsidR="004F713D" w:rsidRPr="00F220E4">
        <w:rPr>
          <w:bCs/>
          <w:noProof/>
          <w:lang w:val="en-ZA" w:bidi="ar-SA"/>
        </w:rPr>
        <w:t>3</w:t>
      </w:r>
      <w:r w:rsidR="004F713D" w:rsidRPr="00F220E4">
        <w:rPr>
          <w:bCs/>
          <w:lang w:val="en-ZA" w:bidi="ar-SA"/>
        </w:rPr>
        <w:t>.</w:t>
      </w:r>
      <w:r w:rsidR="004F713D" w:rsidRPr="00F220E4">
        <w:rPr>
          <w:bCs/>
          <w:noProof/>
          <w:lang w:val="en-ZA" w:bidi="ar-SA"/>
        </w:rPr>
        <w:t>12</w:t>
      </w:r>
      <w:r w:rsidR="006A44B7" w:rsidRPr="00F220E4">
        <w:rPr>
          <w:lang w:val="en-ZA" w:bidi="ar-SA"/>
        </w:rPr>
        <w:fldChar w:fldCharType="end"/>
      </w:r>
      <w:r w:rsidR="006A44B7">
        <w:rPr>
          <w:lang w:val="en-ZA" w:bidi="ar-SA"/>
        </w:rPr>
        <w:t xml:space="preserve"> provides a</w:t>
      </w:r>
      <w:r w:rsidR="00FA4A97" w:rsidRPr="00FA4A97">
        <w:rPr>
          <w:lang w:val="en-ZA" w:bidi="ar-SA"/>
        </w:rPr>
        <w:t xml:space="preserve"> summary of </w:t>
      </w:r>
      <w:r w:rsidR="002440AE">
        <w:rPr>
          <w:lang w:val="en-ZA" w:bidi="ar-SA"/>
        </w:rPr>
        <w:t xml:space="preserve">average </w:t>
      </w:r>
      <w:r w:rsidR="00FA4A97" w:rsidRPr="00FA4A97">
        <w:rPr>
          <w:lang w:val="en-ZA" w:bidi="ar-SA"/>
        </w:rPr>
        <w:t xml:space="preserve">processing costs </w:t>
      </w:r>
      <w:r w:rsidR="002440AE">
        <w:rPr>
          <w:lang w:val="en-ZA" w:bidi="ar-SA"/>
        </w:rPr>
        <w:t xml:space="preserve">across all provinces </w:t>
      </w:r>
      <w:r w:rsidR="00A250FD">
        <w:rPr>
          <w:lang w:val="en-ZA" w:bidi="ar-SA"/>
        </w:rPr>
        <w:t xml:space="preserve">relative to </w:t>
      </w:r>
      <w:r w:rsidR="000937DC">
        <w:rPr>
          <w:lang w:val="en-ZA" w:bidi="ar-SA"/>
        </w:rPr>
        <w:t xml:space="preserve">average </w:t>
      </w:r>
      <w:r w:rsidR="00A250FD">
        <w:rPr>
          <w:lang w:val="en-ZA" w:bidi="ar-SA"/>
        </w:rPr>
        <w:t xml:space="preserve">fees charged </w:t>
      </w:r>
      <w:r w:rsidR="00A250FD" w:rsidRPr="00FA4A97">
        <w:rPr>
          <w:lang w:val="en-ZA" w:bidi="ar-SA"/>
        </w:rPr>
        <w:t xml:space="preserve">for </w:t>
      </w:r>
      <w:r w:rsidR="00A250FD">
        <w:rPr>
          <w:lang w:val="en-ZA" w:bidi="ar-SA"/>
        </w:rPr>
        <w:t xml:space="preserve">individual </w:t>
      </w:r>
      <w:r w:rsidR="00A250FD" w:rsidRPr="00FA4A97">
        <w:rPr>
          <w:lang w:val="en-ZA" w:bidi="ar-SA"/>
        </w:rPr>
        <w:t>permits</w:t>
      </w:r>
      <w:r w:rsidR="00CC3783">
        <w:rPr>
          <w:lang w:val="en-ZA" w:bidi="ar-SA"/>
        </w:rPr>
        <w:t>.</w:t>
      </w:r>
    </w:p>
    <w:p w14:paraId="3EB79A19" w14:textId="77777777" w:rsidR="0019258E" w:rsidRDefault="0019258E" w:rsidP="0019258E">
      <w:pPr>
        <w:pStyle w:val="BodyText"/>
        <w:rPr>
          <w:lang w:val="en-ZA" w:bidi="ar-SA"/>
        </w:rPr>
      </w:pPr>
    </w:p>
    <w:p w14:paraId="2895087F" w14:textId="77777777" w:rsidR="0019258E" w:rsidRDefault="0019258E" w:rsidP="0019258E">
      <w:pPr>
        <w:pStyle w:val="BodyText"/>
        <w:rPr>
          <w:lang w:val="en-ZA" w:bidi="ar-SA"/>
        </w:rPr>
      </w:pPr>
    </w:p>
    <w:p w14:paraId="731D6753" w14:textId="77777777" w:rsidR="0019258E" w:rsidRDefault="0019258E" w:rsidP="0019258E">
      <w:pPr>
        <w:pStyle w:val="BodyText"/>
        <w:rPr>
          <w:lang w:val="en-ZA" w:bidi="ar-SA"/>
        </w:rPr>
      </w:pPr>
    </w:p>
    <w:p w14:paraId="58D28154" w14:textId="77777777" w:rsidR="0019258E" w:rsidRDefault="0019258E" w:rsidP="0019258E">
      <w:pPr>
        <w:pStyle w:val="BodyText"/>
        <w:rPr>
          <w:lang w:val="en-ZA" w:bidi="ar-SA"/>
        </w:rPr>
      </w:pPr>
    </w:p>
    <w:p w14:paraId="7ADB572B" w14:textId="77777777" w:rsidR="0019258E" w:rsidRDefault="0019258E" w:rsidP="0019258E">
      <w:pPr>
        <w:pStyle w:val="BodyText"/>
        <w:rPr>
          <w:lang w:val="en-ZA" w:bidi="ar-SA"/>
        </w:rPr>
      </w:pPr>
    </w:p>
    <w:p w14:paraId="01D5F1A4" w14:textId="77777777" w:rsidR="0019258E" w:rsidRDefault="0019258E" w:rsidP="0019258E">
      <w:pPr>
        <w:pStyle w:val="BodyText"/>
        <w:rPr>
          <w:lang w:val="en-ZA" w:bidi="ar-SA"/>
        </w:rPr>
      </w:pPr>
    </w:p>
    <w:p w14:paraId="72D49C07" w14:textId="77777777" w:rsidR="0019258E" w:rsidRDefault="0019258E" w:rsidP="0019258E">
      <w:pPr>
        <w:pStyle w:val="BodyText"/>
        <w:rPr>
          <w:lang w:val="en-ZA" w:bidi="ar-SA"/>
        </w:rPr>
      </w:pPr>
    </w:p>
    <w:p w14:paraId="7F0A7C32" w14:textId="77777777" w:rsidR="0019258E" w:rsidRDefault="0019258E" w:rsidP="0019258E">
      <w:pPr>
        <w:pStyle w:val="BodyText"/>
        <w:rPr>
          <w:lang w:val="en-ZA" w:bidi="ar-SA"/>
        </w:rPr>
      </w:pPr>
    </w:p>
    <w:p w14:paraId="7BAD2C2A" w14:textId="77777777" w:rsidR="0019258E" w:rsidRDefault="0019258E" w:rsidP="0019258E">
      <w:pPr>
        <w:pStyle w:val="BodyText"/>
        <w:rPr>
          <w:lang w:val="en-ZA" w:bidi="ar-SA"/>
        </w:rPr>
      </w:pPr>
    </w:p>
    <w:p w14:paraId="6F5291F9" w14:textId="77777777" w:rsidR="0019258E" w:rsidRDefault="0019258E" w:rsidP="0019258E">
      <w:pPr>
        <w:pStyle w:val="BodyText"/>
        <w:rPr>
          <w:lang w:val="en-ZA" w:bidi="ar-SA"/>
        </w:rPr>
      </w:pPr>
    </w:p>
    <w:p w14:paraId="57DBB8D8" w14:textId="77777777" w:rsidR="0019258E" w:rsidRDefault="0019258E" w:rsidP="0019258E">
      <w:pPr>
        <w:pStyle w:val="BodyText"/>
        <w:rPr>
          <w:lang w:val="en-ZA" w:bidi="ar-SA"/>
        </w:rPr>
      </w:pPr>
    </w:p>
    <w:p w14:paraId="276428C7" w14:textId="77777777" w:rsidR="0019258E" w:rsidRDefault="0019258E" w:rsidP="0019258E">
      <w:pPr>
        <w:pStyle w:val="BodyText"/>
        <w:rPr>
          <w:lang w:val="en-ZA" w:bidi="ar-SA"/>
        </w:rPr>
      </w:pPr>
    </w:p>
    <w:p w14:paraId="1138B095" w14:textId="77777777" w:rsidR="0019258E" w:rsidRDefault="0019258E" w:rsidP="0019258E">
      <w:pPr>
        <w:pStyle w:val="BodyText"/>
        <w:rPr>
          <w:lang w:val="en-ZA" w:bidi="ar-SA"/>
        </w:rPr>
      </w:pPr>
    </w:p>
    <w:p w14:paraId="2BBFA9AB" w14:textId="77777777" w:rsidR="0019258E" w:rsidRDefault="0019258E" w:rsidP="0019258E">
      <w:pPr>
        <w:pStyle w:val="BodyText"/>
        <w:rPr>
          <w:lang w:val="en-ZA" w:bidi="ar-SA"/>
        </w:rPr>
      </w:pPr>
    </w:p>
    <w:p w14:paraId="371A6C1E" w14:textId="77777777" w:rsidR="0019258E" w:rsidRDefault="0019258E" w:rsidP="0019258E">
      <w:pPr>
        <w:pStyle w:val="BodyText"/>
        <w:rPr>
          <w:lang w:val="en-ZA" w:bidi="ar-SA"/>
        </w:rPr>
      </w:pPr>
    </w:p>
    <w:p w14:paraId="38119DF2" w14:textId="77777777" w:rsidR="0019258E" w:rsidRDefault="0019258E" w:rsidP="0019258E">
      <w:pPr>
        <w:pStyle w:val="BodyText"/>
        <w:rPr>
          <w:lang w:val="en-ZA" w:bidi="ar-SA"/>
        </w:rPr>
      </w:pPr>
    </w:p>
    <w:p w14:paraId="089ED8EA" w14:textId="77777777" w:rsidR="0019258E" w:rsidRDefault="0019258E" w:rsidP="0019258E">
      <w:pPr>
        <w:pStyle w:val="BodyText"/>
        <w:rPr>
          <w:lang w:val="en-ZA" w:bidi="ar-SA"/>
        </w:rPr>
      </w:pPr>
    </w:p>
    <w:p w14:paraId="67B39A39" w14:textId="77777777" w:rsidR="0019258E" w:rsidRDefault="0019258E" w:rsidP="0019258E">
      <w:pPr>
        <w:pStyle w:val="BodyText"/>
        <w:rPr>
          <w:lang w:val="en-ZA" w:bidi="ar-SA"/>
        </w:rPr>
      </w:pPr>
    </w:p>
    <w:p w14:paraId="41B5F45F" w14:textId="77777777" w:rsidR="0019258E" w:rsidRDefault="0019258E" w:rsidP="0019258E">
      <w:pPr>
        <w:pStyle w:val="BodyText"/>
        <w:rPr>
          <w:lang w:val="en-ZA" w:bidi="ar-SA"/>
        </w:rPr>
      </w:pPr>
    </w:p>
    <w:p w14:paraId="0AABA6D7" w14:textId="68B97C19" w:rsidR="00FA4A97" w:rsidRDefault="00FA4A97" w:rsidP="00D91FCD">
      <w:pPr>
        <w:pStyle w:val="Caption"/>
        <w:rPr>
          <w:lang w:val="en-ZA" w:bidi="ar-SA"/>
        </w:rPr>
      </w:pPr>
      <w:bookmarkStart w:id="43" w:name="_Ref87973254"/>
      <w:r w:rsidRPr="00FA4A97">
        <w:rPr>
          <w:lang w:val="en-ZA" w:bidi="ar-SA"/>
        </w:rPr>
        <w:t xml:space="preserve">Table </w:t>
      </w:r>
      <w:r w:rsidRPr="00FA4A97">
        <w:rPr>
          <w:lang w:val="en-ZA" w:bidi="ar-SA"/>
        </w:rPr>
        <w:fldChar w:fldCharType="begin"/>
      </w:r>
      <w:r w:rsidRPr="00FA4A97">
        <w:rPr>
          <w:lang w:val="en-ZA" w:bidi="ar-SA"/>
        </w:rPr>
        <w:instrText xml:space="preserve"> STYLEREF 1 \s </w:instrText>
      </w:r>
      <w:r w:rsidRPr="00FA4A97">
        <w:rPr>
          <w:lang w:val="en-ZA" w:bidi="ar-SA"/>
        </w:rPr>
        <w:fldChar w:fldCharType="separate"/>
      </w:r>
      <w:r w:rsidR="004E7021">
        <w:rPr>
          <w:noProof/>
          <w:lang w:val="en-ZA" w:bidi="ar-SA"/>
        </w:rPr>
        <w:t>3</w:t>
      </w:r>
      <w:r w:rsidRPr="00FA4A97">
        <w:rPr>
          <w:lang w:val="en-ZA" w:bidi="ar-SA"/>
        </w:rPr>
        <w:fldChar w:fldCharType="end"/>
      </w:r>
      <w:r w:rsidRPr="00FA4A97">
        <w:rPr>
          <w:lang w:val="en-ZA" w:bidi="ar-SA"/>
        </w:rPr>
        <w:t>.</w:t>
      </w:r>
      <w:r w:rsidRPr="00FA4A97">
        <w:rPr>
          <w:lang w:val="en-ZA" w:bidi="ar-SA"/>
        </w:rPr>
        <w:fldChar w:fldCharType="begin"/>
      </w:r>
      <w:r w:rsidRPr="00FA4A97">
        <w:rPr>
          <w:lang w:val="en-ZA" w:bidi="ar-SA"/>
        </w:rPr>
        <w:instrText xml:space="preserve"> SEQ Table \* ARABIC \s 1 </w:instrText>
      </w:r>
      <w:r w:rsidRPr="00FA4A97">
        <w:rPr>
          <w:lang w:val="en-ZA" w:bidi="ar-SA"/>
        </w:rPr>
        <w:fldChar w:fldCharType="separate"/>
      </w:r>
      <w:r w:rsidR="004E7021">
        <w:rPr>
          <w:noProof/>
          <w:lang w:val="en-ZA" w:bidi="ar-SA"/>
        </w:rPr>
        <w:t>12</w:t>
      </w:r>
      <w:r w:rsidRPr="00FA4A97">
        <w:rPr>
          <w:lang w:val="en-ZA" w:bidi="ar-SA"/>
        </w:rPr>
        <w:fldChar w:fldCharType="end"/>
      </w:r>
      <w:bookmarkEnd w:id="43"/>
      <w:r w:rsidRPr="00FA4A97">
        <w:rPr>
          <w:lang w:val="en-ZA" w:bidi="ar-SA"/>
        </w:rPr>
        <w:t xml:space="preserve"> </w:t>
      </w:r>
      <w:r w:rsidR="006D1139">
        <w:rPr>
          <w:lang w:val="en-ZA" w:bidi="ar-SA"/>
        </w:rPr>
        <w:t>P</w:t>
      </w:r>
      <w:r w:rsidR="006D1139" w:rsidRPr="00FA4A97">
        <w:rPr>
          <w:lang w:val="en-ZA" w:bidi="ar-SA"/>
        </w:rPr>
        <w:t xml:space="preserve">rocessing costs </w:t>
      </w:r>
      <w:r w:rsidR="006D1139">
        <w:rPr>
          <w:lang w:val="en-ZA" w:bidi="ar-SA"/>
        </w:rPr>
        <w:t>relative to permit fees charged</w:t>
      </w:r>
      <w:r w:rsidR="006D1139" w:rsidRPr="00C447AD">
        <w:rPr>
          <w:lang w:val="en-ZA" w:bidi="ar-SA"/>
        </w:rPr>
        <w:t xml:space="preserve"> </w:t>
      </w:r>
      <w:r w:rsidR="006D1139" w:rsidRPr="00FA4A97">
        <w:rPr>
          <w:lang w:val="en-ZA" w:bidi="ar-SA"/>
        </w:rPr>
        <w:t>fo</w:t>
      </w:r>
      <w:r w:rsidR="006D1139">
        <w:rPr>
          <w:lang w:val="en-ZA" w:bidi="ar-SA"/>
        </w:rPr>
        <w:t>r</w:t>
      </w:r>
      <w:r w:rsidR="006D1139" w:rsidRPr="00FA4A97">
        <w:rPr>
          <w:lang w:val="en-ZA" w:bidi="ar-SA"/>
        </w:rPr>
        <w:t xml:space="preserve"> </w:t>
      </w:r>
      <w:r w:rsidR="006D1139">
        <w:rPr>
          <w:lang w:val="en-ZA" w:bidi="ar-SA"/>
        </w:rPr>
        <w:t xml:space="preserve">individual </w:t>
      </w:r>
      <w:r w:rsidR="006D1139" w:rsidRPr="00FA4A97">
        <w:rPr>
          <w:lang w:val="en-ZA" w:bidi="ar-SA"/>
        </w:rPr>
        <w:t xml:space="preserve">permits issued </w:t>
      </w:r>
      <w:r w:rsidR="006D1139">
        <w:rPr>
          <w:lang w:val="en-ZA" w:bidi="ar-SA"/>
        </w:rPr>
        <w:t>by</w:t>
      </w:r>
      <w:r w:rsidR="006D1139" w:rsidRPr="00FA4A97">
        <w:rPr>
          <w:lang w:val="en-ZA" w:bidi="ar-SA"/>
        </w:rPr>
        <w:t xml:space="preserve"> the </w:t>
      </w:r>
      <w:r w:rsidR="006D1139">
        <w:rPr>
          <w:lang w:val="en-ZA" w:bidi="ar-SA"/>
        </w:rPr>
        <w:t>provincial issuing a</w:t>
      </w:r>
      <w:r w:rsidR="0067365E">
        <w:rPr>
          <w:lang w:val="en-ZA" w:bidi="ar-SA"/>
        </w:rPr>
        <w:t>uthorities</w:t>
      </w:r>
    </w:p>
    <w:p w14:paraId="3EC415DA" w14:textId="08B0E750" w:rsidR="00D3044E" w:rsidRDefault="00DA4ECA" w:rsidP="001C313C">
      <w:pPr>
        <w:autoSpaceDE/>
        <w:autoSpaceDN/>
        <w:adjustRightInd/>
        <w:spacing w:before="240" w:after="120" w:line="240" w:lineRule="auto"/>
        <w:jc w:val="both"/>
        <w:rPr>
          <w:rFonts w:ascii="Calibri" w:hAnsi="Calibri" w:cs="Times New Roman"/>
          <w:szCs w:val="20"/>
          <w:lang w:val="en-ZA" w:eastAsia="en-GB" w:bidi="ar-SA"/>
        </w:rPr>
      </w:pPr>
      <w:r w:rsidRPr="00DA4ECA">
        <w:rPr>
          <w:noProof/>
        </w:rPr>
        <w:drawing>
          <wp:inline distT="0" distB="0" distL="0" distR="0" wp14:anchorId="46E0682B" wp14:editId="6121227F">
            <wp:extent cx="5406181" cy="65817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0106" cy="6598728"/>
                    </a:xfrm>
                    <a:prstGeom prst="rect">
                      <a:avLst/>
                    </a:prstGeom>
                    <a:noFill/>
                    <a:ln>
                      <a:noFill/>
                    </a:ln>
                  </pic:spPr>
                </pic:pic>
              </a:graphicData>
            </a:graphic>
          </wp:inline>
        </w:drawing>
      </w:r>
    </w:p>
    <w:p w14:paraId="1B754AC1" w14:textId="77777777" w:rsidR="00DA4ECA" w:rsidRPr="00FA4A97" w:rsidRDefault="00DA4ECA" w:rsidP="001C313C">
      <w:pPr>
        <w:autoSpaceDE/>
        <w:autoSpaceDN/>
        <w:adjustRightInd/>
        <w:spacing w:before="240" w:after="120" w:line="240" w:lineRule="auto"/>
        <w:jc w:val="both"/>
        <w:rPr>
          <w:rFonts w:ascii="Calibri" w:hAnsi="Calibri" w:cs="Times New Roman"/>
          <w:szCs w:val="20"/>
          <w:lang w:val="en-ZA" w:eastAsia="en-GB" w:bidi="ar-SA"/>
        </w:rPr>
      </w:pPr>
    </w:p>
    <w:p w14:paraId="6D7B4458" w14:textId="5765E865" w:rsidR="00600CCF" w:rsidRDefault="00E8520F" w:rsidP="00E8520F">
      <w:pPr>
        <w:pStyle w:val="Heading1"/>
      </w:pPr>
      <w:bookmarkStart w:id="44" w:name="_Toc100834551"/>
      <w:r>
        <w:t>The fee determination framework</w:t>
      </w:r>
      <w:r w:rsidR="00D61C2B">
        <w:t xml:space="preserve"> and process</w:t>
      </w:r>
      <w:bookmarkEnd w:id="44"/>
    </w:p>
    <w:p w14:paraId="202849C5" w14:textId="3C3E5242" w:rsidR="00245796" w:rsidRDefault="001E72C1" w:rsidP="00871EEA">
      <w:pPr>
        <w:jc w:val="both"/>
      </w:pPr>
      <w:r>
        <w:t>The purpose of th</w:t>
      </w:r>
      <w:r w:rsidR="00725387">
        <w:t>e</w:t>
      </w:r>
      <w:r>
        <w:t xml:space="preserve"> </w:t>
      </w:r>
      <w:r w:rsidR="00871EEA">
        <w:t>Fee Determination F</w:t>
      </w:r>
      <w:r>
        <w:t xml:space="preserve">ramework is to provide broad guidance for the appropriate determination or setting of fees for permits and </w:t>
      </w:r>
      <w:proofErr w:type="spellStart"/>
      <w:r>
        <w:t>licences</w:t>
      </w:r>
      <w:proofErr w:type="spellEnd"/>
      <w:r>
        <w:t xml:space="preserve"> under NEMBA whether </w:t>
      </w:r>
      <w:r>
        <w:lastRenderedPageBreak/>
        <w:t>they are being newly determined or revised.</w:t>
      </w:r>
      <w:r w:rsidR="00BF5C39">
        <w:t xml:space="preserve"> </w:t>
      </w:r>
      <w:r w:rsidR="00725387">
        <w:t>It is</w:t>
      </w:r>
      <w:r w:rsidR="00BF5C39">
        <w:t xml:space="preserve"> guided by legal requirements </w:t>
      </w:r>
      <w:proofErr w:type="gramStart"/>
      <w:r w:rsidR="00BF5C39">
        <w:t>with regard to</w:t>
      </w:r>
      <w:proofErr w:type="gramEnd"/>
      <w:r w:rsidR="00BF5C39">
        <w:t xml:space="preserve"> government financial management</w:t>
      </w:r>
      <w:r w:rsidR="00257487">
        <w:t xml:space="preserve">, </w:t>
      </w:r>
      <w:r w:rsidR="00BF5C39">
        <w:t>lessons from fees</w:t>
      </w:r>
      <w:r w:rsidR="00257487">
        <w:t xml:space="preserve"> applicable in other parts of the wider conservation and environmental sector</w:t>
      </w:r>
      <w:r w:rsidR="00FD351E">
        <w:t xml:space="preserve"> along with international best practice</w:t>
      </w:r>
      <w:r w:rsidR="00BF5C39">
        <w:t xml:space="preserve">. </w:t>
      </w:r>
      <w:bookmarkEnd w:id="9"/>
      <w:bookmarkEnd w:id="10"/>
      <w:bookmarkEnd w:id="11"/>
      <w:bookmarkEnd w:id="12"/>
    </w:p>
    <w:p w14:paraId="6C0984D6" w14:textId="1B957D5B" w:rsidR="00D90420" w:rsidRDefault="00077403" w:rsidP="00245796">
      <w:r>
        <w:t>At the level of</w:t>
      </w:r>
      <w:r w:rsidR="007509EA">
        <w:t xml:space="preserve"> basic</w:t>
      </w:r>
      <w:r>
        <w:t xml:space="preserve"> principles</w:t>
      </w:r>
      <w:r w:rsidR="007509EA">
        <w:t xml:space="preserve">, </w:t>
      </w:r>
      <w:r w:rsidR="00CB37D7" w:rsidRPr="00CB37D7">
        <w:t>South African fees should aim to achieve an optimal balance between efficiency, equity and simplicity elaborated in</w:t>
      </w:r>
      <w:r w:rsidR="0061029D">
        <w:t xml:space="preserve"> </w:t>
      </w:r>
      <w:r w:rsidR="00294997">
        <w:fldChar w:fldCharType="begin"/>
      </w:r>
      <w:r w:rsidR="00294997">
        <w:instrText xml:space="preserve"> REF _Ref96601523 </w:instrText>
      </w:r>
      <w:r w:rsidR="00294997">
        <w:fldChar w:fldCharType="separate"/>
      </w:r>
      <w:r w:rsidR="004E7021">
        <w:t xml:space="preserve">Figure </w:t>
      </w:r>
      <w:r w:rsidR="004E7021">
        <w:rPr>
          <w:noProof/>
        </w:rPr>
        <w:t>4</w:t>
      </w:r>
      <w:r w:rsidR="004E7021">
        <w:t>.</w:t>
      </w:r>
      <w:r w:rsidR="004E7021">
        <w:rPr>
          <w:noProof/>
        </w:rPr>
        <w:t>1</w:t>
      </w:r>
      <w:r w:rsidR="00294997">
        <w:rPr>
          <w:noProof/>
        </w:rPr>
        <w:fldChar w:fldCharType="end"/>
      </w:r>
      <w:r w:rsidR="004475A1">
        <w:t>.</w:t>
      </w:r>
    </w:p>
    <w:p w14:paraId="0F5AEF25" w14:textId="2E9506D4" w:rsidR="000F79BB" w:rsidRDefault="000F79BB" w:rsidP="00D90420">
      <w:pPr>
        <w:pStyle w:val="BodyText"/>
      </w:pPr>
      <w:r>
        <w:rPr>
          <w:noProof/>
          <w:lang w:eastAsia="en-GB"/>
        </w:rPr>
        <w:drawing>
          <wp:inline distT="0" distB="0" distL="0" distR="0" wp14:anchorId="2633C92F" wp14:editId="615E56AD">
            <wp:extent cx="5791200" cy="3352800"/>
            <wp:effectExtent l="0" t="0" r="571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133169D" w14:textId="0C9A75BD" w:rsidR="0061029D" w:rsidRPr="00D91FCD" w:rsidRDefault="0061029D" w:rsidP="0061029D">
      <w:pPr>
        <w:pStyle w:val="Caption"/>
      </w:pPr>
      <w:bookmarkStart w:id="45" w:name="_Ref96601523"/>
      <w:r w:rsidRPr="00D91FCD">
        <w:t xml:space="preserve">Figure </w:t>
      </w:r>
      <w:r w:rsidR="00294997">
        <w:fldChar w:fldCharType="begin"/>
      </w:r>
      <w:r w:rsidR="00294997">
        <w:instrText xml:space="preserve"> STYLEREF 1 \s </w:instrText>
      </w:r>
      <w:r w:rsidR="00294997">
        <w:fldChar w:fldCharType="separate"/>
      </w:r>
      <w:r w:rsidR="00666E61" w:rsidRPr="00D91FCD">
        <w:rPr>
          <w:noProof/>
        </w:rPr>
        <w:t>4</w:t>
      </w:r>
      <w:r w:rsidR="00294997">
        <w:rPr>
          <w:noProof/>
        </w:rPr>
        <w:fldChar w:fldCharType="end"/>
      </w:r>
      <w:r w:rsidR="001D20CF" w:rsidRPr="00D91FCD">
        <w:t>.</w:t>
      </w:r>
      <w:r w:rsidR="00294997">
        <w:fldChar w:fldCharType="begin"/>
      </w:r>
      <w:r w:rsidR="00294997">
        <w:instrText xml:space="preserve"> SEQ Figure \* ARABIC \s 1 </w:instrText>
      </w:r>
      <w:r w:rsidR="00294997">
        <w:fldChar w:fldCharType="separate"/>
      </w:r>
      <w:r w:rsidR="00666E61" w:rsidRPr="00D91FCD">
        <w:rPr>
          <w:noProof/>
        </w:rPr>
        <w:t>1</w:t>
      </w:r>
      <w:r w:rsidR="00294997">
        <w:rPr>
          <w:noProof/>
        </w:rPr>
        <w:fldChar w:fldCharType="end"/>
      </w:r>
      <w:bookmarkEnd w:id="45"/>
      <w:r w:rsidRPr="00D91FCD">
        <w:t>: Overall principles to be applied in fee determination for fee</w:t>
      </w:r>
      <w:r w:rsidR="004E6732" w:rsidRPr="00D91FCD">
        <w:t>s</w:t>
      </w:r>
      <w:r w:rsidRPr="00D91FCD">
        <w:t xml:space="preserve"> under NEMBA</w:t>
      </w:r>
    </w:p>
    <w:p w14:paraId="7AE36845" w14:textId="77777777" w:rsidR="00123BB1" w:rsidRDefault="00123BB1" w:rsidP="00123BB1">
      <w:pPr>
        <w:pStyle w:val="NoSpacing"/>
      </w:pPr>
    </w:p>
    <w:p w14:paraId="19C4FC04" w14:textId="504F1795" w:rsidR="00AE5259" w:rsidRDefault="00123BB1" w:rsidP="00EB0CFB">
      <w:pPr>
        <w:pStyle w:val="BodyText"/>
      </w:pPr>
      <w:r w:rsidRPr="00123BB1">
        <w:t>These principles inform the key considerations to guide fee determination. The distinction should be made between considerations that should always be used to guide fee determination and those that can sometimes be used.</w:t>
      </w:r>
    </w:p>
    <w:p w14:paraId="4625D564" w14:textId="201326D2" w:rsidR="00EB0CFB" w:rsidRDefault="00EB0CFB" w:rsidP="00156D90">
      <w:pPr>
        <w:pStyle w:val="BodyText"/>
        <w:sectPr w:rsidR="00EB0CFB" w:rsidSect="005E2732">
          <w:pgSz w:w="11900" w:h="16840" w:code="9"/>
          <w:pgMar w:top="1985" w:right="1418" w:bottom="993" w:left="1418" w:header="851" w:footer="851" w:gutter="0"/>
          <w:pgNumType w:start="1"/>
          <w:cols w:space="708"/>
          <w:docGrid w:linePitch="299"/>
        </w:sectPr>
      </w:pPr>
    </w:p>
    <w:p w14:paraId="48994D0B" w14:textId="2E44B099" w:rsidR="007F2558" w:rsidRDefault="00156D90" w:rsidP="00222BAD">
      <w:pPr>
        <w:pStyle w:val="BodyText"/>
      </w:pPr>
      <w:r>
        <w:t xml:space="preserve">The following considerations </w:t>
      </w:r>
      <w:r w:rsidRPr="00156D90">
        <w:rPr>
          <w:b/>
          <w:bCs/>
        </w:rPr>
        <w:t>should always be used</w:t>
      </w:r>
      <w:r>
        <w:t xml:space="preserve"> to guide fee determination for all permit or </w:t>
      </w:r>
      <w:proofErr w:type="spellStart"/>
      <w:r>
        <w:t>licence</w:t>
      </w:r>
      <w:proofErr w:type="spellEnd"/>
      <w:r>
        <w:t xml:space="preserve"> types:</w:t>
      </w:r>
    </w:p>
    <w:p w14:paraId="5E0F89D1" w14:textId="3A606746" w:rsidR="0088403C" w:rsidRDefault="00156D90" w:rsidP="0088403C">
      <w:pPr>
        <w:pStyle w:val="BodyText"/>
        <w:numPr>
          <w:ilvl w:val="0"/>
          <w:numId w:val="19"/>
        </w:numPr>
      </w:pPr>
      <w:r>
        <w:t xml:space="preserve">Fees should recover all or part of the cost of the permitting and </w:t>
      </w:r>
      <w:r w:rsidR="00D247F4">
        <w:t>licensing</w:t>
      </w:r>
      <w:r>
        <w:t xml:space="preserve"> services provided by the issuing authorities.</w:t>
      </w:r>
    </w:p>
    <w:p w14:paraId="36EC2530" w14:textId="2E253F33" w:rsidR="00156D90" w:rsidRDefault="00156D90" w:rsidP="008777FC">
      <w:pPr>
        <w:pStyle w:val="BodyText"/>
        <w:numPr>
          <w:ilvl w:val="0"/>
          <w:numId w:val="19"/>
        </w:numPr>
      </w:pPr>
      <w:r>
        <w:t>Fees should be affordable and equitable.</w:t>
      </w:r>
    </w:p>
    <w:p w14:paraId="7946294B" w14:textId="3C65F6C2" w:rsidR="00156D90" w:rsidRDefault="00156D90" w:rsidP="00156D90">
      <w:pPr>
        <w:pStyle w:val="BodyText"/>
      </w:pPr>
      <w:r>
        <w:t xml:space="preserve">The following considerations </w:t>
      </w:r>
      <w:r w:rsidRPr="00156D90">
        <w:rPr>
          <w:b/>
          <w:bCs/>
        </w:rPr>
        <w:t>can sometimes also be used</w:t>
      </w:r>
      <w:r>
        <w:t xml:space="preserve"> to guide fee determination for some permit types:</w:t>
      </w:r>
    </w:p>
    <w:p w14:paraId="13AB254C" w14:textId="44E3E16A" w:rsidR="00156D90" w:rsidRDefault="00156D90" w:rsidP="008777FC">
      <w:pPr>
        <w:pStyle w:val="BodyText"/>
        <w:numPr>
          <w:ilvl w:val="0"/>
          <w:numId w:val="19"/>
        </w:numPr>
      </w:pPr>
      <w:r>
        <w:t>Fees can capture the value of resources where their ownership by the state is clear or there is a clear justification to do so.</w:t>
      </w:r>
    </w:p>
    <w:p w14:paraId="4BCEE765" w14:textId="53620B37" w:rsidR="00123BB1" w:rsidRPr="004475A1" w:rsidRDefault="00156D90" w:rsidP="008777FC">
      <w:pPr>
        <w:pStyle w:val="BodyText"/>
        <w:numPr>
          <w:ilvl w:val="0"/>
          <w:numId w:val="19"/>
        </w:numPr>
      </w:pPr>
      <w:r>
        <w:t>Fee can be used to further specific policy objectives.</w:t>
      </w:r>
    </w:p>
    <w:p w14:paraId="3478409C" w14:textId="77777777" w:rsidR="00156D90" w:rsidRDefault="00156D90" w:rsidP="00843C47">
      <w:pPr>
        <w:pStyle w:val="Heading1"/>
        <w:sectPr w:rsidR="00156D90" w:rsidSect="00053467">
          <w:type w:val="continuous"/>
          <w:pgSz w:w="11900" w:h="16840" w:code="9"/>
          <w:pgMar w:top="1985" w:right="1418" w:bottom="1418" w:left="1418" w:header="851" w:footer="851" w:gutter="0"/>
          <w:cols w:num="2" w:space="708"/>
          <w:docGrid w:linePitch="299"/>
        </w:sectPr>
      </w:pPr>
    </w:p>
    <w:p w14:paraId="0007792F" w14:textId="5D58E878" w:rsidR="00447F62" w:rsidRDefault="00447F62" w:rsidP="004460B1">
      <w:pPr>
        <w:pStyle w:val="BodyText"/>
      </w:pPr>
      <w:r w:rsidRPr="00447F62">
        <w:t xml:space="preserve">Cost recovery, affordability and equity are thus always relevant and are generally easier to measure, understand, justify and apply. They are substantially more commonly used </w:t>
      </w:r>
      <w:r w:rsidRPr="00447F62">
        <w:lastRenderedPageBreak/>
        <w:t>internationally. The merits of using other considerations should be very carefully weighed up whether they can be measured and updated without complex analysis or expert inputs.</w:t>
      </w:r>
      <w:r w:rsidR="00591C7B">
        <w:t xml:space="preserve"> The Fee D</w:t>
      </w:r>
      <w:r w:rsidR="004460B1">
        <w:t>etermination Framework provides m</w:t>
      </w:r>
      <w:r w:rsidR="00D1782B" w:rsidRPr="00D1782B">
        <w:t>ore details on the application of the four considerations.</w:t>
      </w:r>
    </w:p>
    <w:p w14:paraId="4DC5FA26" w14:textId="0D7254AA" w:rsidR="00966BC5" w:rsidRDefault="00B969D4" w:rsidP="00B969D4">
      <w:pPr>
        <w:pStyle w:val="BodyText"/>
      </w:pPr>
      <w:r w:rsidRPr="00B969D4">
        <w:t xml:space="preserve">The fee determination model or process can best be described as ‘cost recovery with potential adjustments for affordability, equity, value and policy </w:t>
      </w:r>
      <w:proofErr w:type="gramStart"/>
      <w:r w:rsidRPr="00B969D4">
        <w:t>objectives’</w:t>
      </w:r>
      <w:proofErr w:type="gramEnd"/>
      <w:r w:rsidR="007D10D9">
        <w:t xml:space="preserve">. </w:t>
      </w:r>
      <w:r w:rsidR="00294997">
        <w:fldChar w:fldCharType="begin"/>
      </w:r>
      <w:r w:rsidR="00294997">
        <w:instrText xml:space="preserve"> REF _Ref96602766 </w:instrText>
      </w:r>
      <w:r w:rsidR="00294997">
        <w:fldChar w:fldCharType="separate"/>
      </w:r>
      <w:r w:rsidR="004E7021">
        <w:t xml:space="preserve">Figure </w:t>
      </w:r>
      <w:r w:rsidR="004F713D">
        <w:rPr>
          <w:noProof/>
        </w:rPr>
        <w:t>4</w:t>
      </w:r>
      <w:r w:rsidR="004E7021">
        <w:t>.</w:t>
      </w:r>
      <w:r w:rsidR="004E7021">
        <w:rPr>
          <w:noProof/>
        </w:rPr>
        <w:t>1</w:t>
      </w:r>
      <w:r w:rsidR="00294997">
        <w:rPr>
          <w:noProof/>
        </w:rPr>
        <w:fldChar w:fldCharType="end"/>
      </w:r>
      <w:r w:rsidRPr="00B969D4">
        <w:t xml:space="preserve"> shows how the four considerations can be applied sequentially to arrive at appropriate fee amounts bearing in mind that not all considerations will be applicable</w:t>
      </w:r>
      <w:r w:rsidR="00F51807">
        <w:t>.</w:t>
      </w:r>
      <w:r w:rsidRPr="00B969D4">
        <w:t xml:space="preserve"> </w:t>
      </w:r>
      <w:r w:rsidR="009A6CFA" w:rsidRPr="006604FD">
        <w:rPr>
          <w:rStyle w:val="BodyTextChar"/>
        </w:rPr>
        <w:t>The same process can be applied to the periodic review and revision of fee amounts</w:t>
      </w:r>
      <w:r w:rsidR="00F51807">
        <w:rPr>
          <w:rStyle w:val="BodyTextChar"/>
        </w:rPr>
        <w:t>. S</w:t>
      </w:r>
      <w:r w:rsidRPr="00B969D4">
        <w:t>takeholder engagement</w:t>
      </w:r>
      <w:r w:rsidR="00F51807">
        <w:t xml:space="preserve"> is case speci</w:t>
      </w:r>
      <w:r w:rsidR="00E0034B">
        <w:t>fic</w:t>
      </w:r>
      <w:r w:rsidRPr="00B969D4">
        <w:t>.</w:t>
      </w:r>
      <w:r w:rsidR="00966D2F">
        <w:t xml:space="preserve"> </w:t>
      </w:r>
      <w:r w:rsidR="00E0034B">
        <w:t>It</w:t>
      </w:r>
      <w:r w:rsidR="00966D2F">
        <w:t xml:space="preserve"> will generally, at a minimum, require </w:t>
      </w:r>
      <w:r w:rsidR="00F87899">
        <w:t xml:space="preserve">a chance for stakeholders to comment on draft fees before they </w:t>
      </w:r>
      <w:r w:rsidR="004E37E4">
        <w:t xml:space="preserve">can be </w:t>
      </w:r>
      <w:r w:rsidR="00F87899">
        <w:t>finalized. In instance</w:t>
      </w:r>
      <w:r w:rsidR="007F246F">
        <w:t>s where significant changes to fee</w:t>
      </w:r>
      <w:r w:rsidR="00FD765B">
        <w:t xml:space="preserve"> amounts </w:t>
      </w:r>
      <w:r w:rsidR="00503AEF">
        <w:t>or</w:t>
      </w:r>
      <w:r w:rsidR="00FD765B">
        <w:t xml:space="preserve"> structures </w:t>
      </w:r>
      <w:r w:rsidR="007F246F">
        <w:t>are b</w:t>
      </w:r>
      <w:r w:rsidR="00FD765B">
        <w:t>eing proposed</w:t>
      </w:r>
      <w:r w:rsidR="00503AEF">
        <w:t>, additional stakeholder engagement i</w:t>
      </w:r>
      <w:r w:rsidR="007C1336">
        <w:t>s</w:t>
      </w:r>
      <w:r w:rsidR="00503AEF">
        <w:t xml:space="preserve"> likely to be necessary</w:t>
      </w:r>
      <w:r w:rsidR="004E37E4">
        <w:t xml:space="preserve"> in keeping with government requirements</w:t>
      </w:r>
      <w:r w:rsidR="00503AEF">
        <w:t>.</w:t>
      </w:r>
      <w:r w:rsidR="00C60DCA" w:rsidRPr="006604FD">
        <w:rPr>
          <w:rStyle w:val="BodyTextChar"/>
        </w:rPr>
        <w:t xml:space="preserve"> </w:t>
      </w:r>
      <w:r w:rsidR="002978B2">
        <w:rPr>
          <w:rStyle w:val="BodyTextChar"/>
        </w:rPr>
        <w:t>In such cases</w:t>
      </w:r>
      <w:r w:rsidR="000630BD">
        <w:rPr>
          <w:rStyle w:val="BodyTextChar"/>
        </w:rPr>
        <w:t>, s</w:t>
      </w:r>
      <w:r w:rsidR="00495DC1">
        <w:rPr>
          <w:rStyle w:val="BodyTextChar"/>
        </w:rPr>
        <w:t xml:space="preserve">takeholders are likely to </w:t>
      </w:r>
      <w:r w:rsidR="00C93961">
        <w:rPr>
          <w:rStyle w:val="BodyTextChar"/>
        </w:rPr>
        <w:t xml:space="preserve">be particularly interested in </w:t>
      </w:r>
      <w:r w:rsidR="000630BD">
        <w:rPr>
          <w:rStyle w:val="BodyTextChar"/>
        </w:rPr>
        <w:t>any efficiency improvements or other cost cutting measures that are being implemented by issuing authorities to keep p</w:t>
      </w:r>
      <w:r w:rsidR="00BD2B9A">
        <w:rPr>
          <w:rStyle w:val="BodyTextChar"/>
        </w:rPr>
        <w:t>ermit processing costs as low as possible.</w:t>
      </w:r>
      <w:r w:rsidR="000630BD">
        <w:rPr>
          <w:rStyle w:val="BodyTextChar"/>
        </w:rPr>
        <w:t xml:space="preserve"> </w:t>
      </w:r>
      <w:r w:rsidR="00FD765B">
        <w:t xml:space="preserve"> </w:t>
      </w:r>
    </w:p>
    <w:p w14:paraId="2173735C" w14:textId="77777777" w:rsidR="00ED0503" w:rsidRDefault="00ED0503" w:rsidP="00B969D4">
      <w:pPr>
        <w:pStyle w:val="BodyText"/>
      </w:pPr>
    </w:p>
    <w:p w14:paraId="57779F27" w14:textId="6D901DC1" w:rsidR="00A25F67" w:rsidRDefault="005E4719" w:rsidP="00B969D4">
      <w:pPr>
        <w:pStyle w:val="BodyText"/>
      </w:pPr>
      <w:r>
        <w:rPr>
          <w:noProof/>
          <w:lang w:eastAsia="en-GB"/>
        </w:rPr>
        <mc:AlternateContent>
          <mc:Choice Requires="wps">
            <w:drawing>
              <wp:anchor distT="0" distB="0" distL="114300" distR="114300" simplePos="0" relativeHeight="251658243" behindDoc="0" locked="0" layoutInCell="1" allowOverlap="1" wp14:anchorId="39249BBF" wp14:editId="31438849">
                <wp:simplePos x="0" y="0"/>
                <wp:positionH relativeFrom="column">
                  <wp:posOffset>428625</wp:posOffset>
                </wp:positionH>
                <wp:positionV relativeFrom="paragraph">
                  <wp:posOffset>88265</wp:posOffset>
                </wp:positionV>
                <wp:extent cx="1181100" cy="2603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1181100" cy="260350"/>
                        </a:xfrm>
                        <a:prstGeom prst="rect">
                          <a:avLst/>
                        </a:prstGeom>
                        <a:solidFill>
                          <a:schemeClr val="accent5">
                            <a:lumMod val="20000"/>
                            <a:lumOff val="80000"/>
                          </a:schemeClr>
                        </a:solidFill>
                        <a:ln w="6350">
                          <a:solidFill>
                            <a:schemeClr val="accent5"/>
                          </a:solidFill>
                        </a:ln>
                      </wps:spPr>
                      <wps:txbx>
                        <w:txbxContent>
                          <w:p w14:paraId="67F23D98" w14:textId="77777777" w:rsidR="00507359" w:rsidRPr="00A25F67" w:rsidRDefault="00507359" w:rsidP="00507359">
                            <w:pPr>
                              <w:rPr>
                                <w:rFonts w:ascii="Arial" w:hAnsi="Arial" w:cs="Arial"/>
                                <w:sz w:val="18"/>
                                <w:szCs w:val="16"/>
                              </w:rPr>
                            </w:pPr>
                            <w:r w:rsidRPr="00A25F67">
                              <w:rPr>
                                <w:rFonts w:ascii="Arial" w:hAnsi="Arial" w:cs="Arial"/>
                                <w:sz w:val="18"/>
                                <w:szCs w:val="16"/>
                              </w:rPr>
                              <w:t>Always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9BBF" id="Text Box 22" o:spid="_x0000_s1027" type="#_x0000_t202" style="position:absolute;left:0;text-align:left;margin-left:33.75pt;margin-top:6.95pt;width:93pt;height: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" fillcolor="#daeef3 [664]" strokecolor="#4bacc6 [3208]" strokeweight=".5pt">
                <v:textbox>
                  <w:txbxContent>
                    <w:p w14:paraId="67F23D98" w14:textId="77777777" w:rsidR="00507359" w:rsidRPr="00A25F67" w:rsidRDefault="00507359" w:rsidP="00507359">
                      <w:pPr>
                        <w:rPr>
                          <w:rFonts w:ascii="Arial" w:hAnsi="Arial" w:cs="Arial"/>
                          <w:sz w:val="18"/>
                          <w:szCs w:val="16"/>
                        </w:rPr>
                      </w:pPr>
                      <w:r w:rsidRPr="00A25F67">
                        <w:rPr>
                          <w:rFonts w:ascii="Arial" w:hAnsi="Arial" w:cs="Arial"/>
                          <w:sz w:val="18"/>
                          <w:szCs w:val="16"/>
                        </w:rPr>
                        <w:t>Always applicable</w:t>
                      </w:r>
                    </w:p>
                  </w:txbxContent>
                </v:textbox>
              </v:shape>
            </w:pict>
          </mc:Fallback>
        </mc:AlternateContent>
      </w:r>
      <w:r w:rsidR="003F030A">
        <w:rPr>
          <w:noProof/>
          <w:lang w:eastAsia="en-GB"/>
        </w:rPr>
        <mc:AlternateContent>
          <mc:Choice Requires="wps">
            <w:drawing>
              <wp:anchor distT="0" distB="0" distL="114300" distR="114300" simplePos="0" relativeHeight="251658246" behindDoc="0" locked="0" layoutInCell="1" allowOverlap="1" wp14:anchorId="509A5B62" wp14:editId="2DC8A08E">
                <wp:simplePos x="0" y="0"/>
                <wp:positionH relativeFrom="margin">
                  <wp:align>center</wp:align>
                </wp:positionH>
                <wp:positionV relativeFrom="paragraph">
                  <wp:posOffset>-139973</wp:posOffset>
                </wp:positionV>
                <wp:extent cx="307975" cy="1555750"/>
                <wp:effectExtent l="61913" t="14287" r="77787" b="77788"/>
                <wp:wrapNone/>
                <wp:docPr id="8" name="Left Brace 8"/>
                <wp:cNvGraphicFramePr/>
                <a:graphic xmlns:a="http://schemas.openxmlformats.org/drawingml/2006/main">
                  <a:graphicData uri="http://schemas.microsoft.com/office/word/2010/wordprocessingShape">
                    <wps:wsp>
                      <wps:cNvSpPr/>
                      <wps:spPr>
                        <a:xfrm rot="5400000">
                          <a:off x="0" y="0"/>
                          <a:ext cx="307975" cy="1555750"/>
                        </a:xfrm>
                        <a:prstGeom prst="leftBrace">
                          <a:avLst/>
                        </a:prstGeom>
                        <a:ln w="12700">
                          <a:solidFill>
                            <a:schemeClr val="tx1"/>
                          </a:solidFill>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284A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0;margin-top:-11pt;width:24.25pt;height:122.5pt;rotation:90;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" adj="356" strokecolor="#0e4e95 [3213]" strokeweight="1pt">
                <v:shadow on="t" color="black" opacity="22937f" origin=",.5" offset="0,.63889mm"/>
                <w10:wrap anchorx="margin"/>
              </v:shape>
            </w:pict>
          </mc:Fallback>
        </mc:AlternateContent>
      </w:r>
      <w:r w:rsidR="003F030A">
        <w:rPr>
          <w:noProof/>
          <w:lang w:eastAsia="en-GB"/>
        </w:rPr>
        <mc:AlternateContent>
          <mc:Choice Requires="wps">
            <w:drawing>
              <wp:anchor distT="0" distB="0" distL="114300" distR="114300" simplePos="0" relativeHeight="251658241" behindDoc="0" locked="0" layoutInCell="1" allowOverlap="1" wp14:anchorId="695CAB92" wp14:editId="472B3E45">
                <wp:simplePos x="0" y="0"/>
                <wp:positionH relativeFrom="column">
                  <wp:posOffset>860741</wp:posOffset>
                </wp:positionH>
                <wp:positionV relativeFrom="paragraph">
                  <wp:posOffset>-134303</wp:posOffset>
                </wp:positionV>
                <wp:extent cx="307975" cy="1555750"/>
                <wp:effectExtent l="61913" t="14287" r="77787" b="77788"/>
                <wp:wrapNone/>
                <wp:docPr id="4" name="Left Brace 4"/>
                <wp:cNvGraphicFramePr/>
                <a:graphic xmlns:a="http://schemas.openxmlformats.org/drawingml/2006/main">
                  <a:graphicData uri="http://schemas.microsoft.com/office/word/2010/wordprocessingShape">
                    <wps:wsp>
                      <wps:cNvSpPr/>
                      <wps:spPr>
                        <a:xfrm rot="5400000">
                          <a:off x="0" y="0"/>
                          <a:ext cx="307975" cy="1555750"/>
                        </a:xfrm>
                        <a:prstGeom prst="leftBrace">
                          <a:avLst/>
                        </a:prstGeom>
                        <a:ln w="12700">
                          <a:solidFill>
                            <a:schemeClr val="tx1"/>
                          </a:solidFill>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C87B" id="Left Brace 4" o:spid="_x0000_s1026" type="#_x0000_t87" style="position:absolute;margin-left:67.75pt;margin-top:-10.6pt;width:24.25pt;height:12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" adj="356" strokecolor="#0e4e95 [3213]" strokeweight="1pt">
                <v:shadow on="t" color="black" opacity="22937f" origin=",.5" offset="0,.63889mm"/>
              </v:shape>
            </w:pict>
          </mc:Fallback>
        </mc:AlternateContent>
      </w:r>
      <w:r w:rsidR="00C3558A">
        <w:rPr>
          <w:noProof/>
          <w:lang w:eastAsia="en-GB"/>
        </w:rPr>
        <mc:AlternateContent>
          <mc:Choice Requires="wps">
            <w:drawing>
              <wp:anchor distT="0" distB="0" distL="114300" distR="114300" simplePos="0" relativeHeight="251658245" behindDoc="0" locked="0" layoutInCell="1" allowOverlap="1" wp14:anchorId="2FC1EAF8" wp14:editId="730679BA">
                <wp:simplePos x="0" y="0"/>
                <wp:positionH relativeFrom="column">
                  <wp:posOffset>4019550</wp:posOffset>
                </wp:positionH>
                <wp:positionV relativeFrom="paragraph">
                  <wp:posOffset>8890</wp:posOffset>
                </wp:positionV>
                <wp:extent cx="1479550" cy="419100"/>
                <wp:effectExtent l="0" t="0" r="25400" b="19050"/>
                <wp:wrapNone/>
                <wp:docPr id="61" name="Text Box 61"/>
                <wp:cNvGraphicFramePr/>
                <a:graphic xmlns:a="http://schemas.openxmlformats.org/drawingml/2006/main">
                  <a:graphicData uri="http://schemas.microsoft.com/office/word/2010/wordprocessingShape">
                    <wps:wsp>
                      <wps:cNvSpPr txBox="1"/>
                      <wps:spPr>
                        <a:xfrm>
                          <a:off x="0" y="0"/>
                          <a:ext cx="1479550" cy="419100"/>
                        </a:xfrm>
                        <a:prstGeom prst="rect">
                          <a:avLst/>
                        </a:prstGeom>
                        <a:solidFill>
                          <a:schemeClr val="tx1">
                            <a:lumMod val="20000"/>
                            <a:lumOff val="80000"/>
                          </a:schemeClr>
                        </a:solidFill>
                        <a:ln w="6350">
                          <a:solidFill>
                            <a:schemeClr val="accent5"/>
                          </a:solidFill>
                        </a:ln>
                      </wps:spPr>
                      <wps:txbx>
                        <w:txbxContent>
                          <w:p w14:paraId="10255F99" w14:textId="77777777" w:rsidR="007D10D9" w:rsidRPr="00A25F67" w:rsidRDefault="007D10D9" w:rsidP="007D10D9">
                            <w:pPr>
                              <w:jc w:val="center"/>
                              <w:rPr>
                                <w:rFonts w:ascii="Arial" w:hAnsi="Arial" w:cs="Arial"/>
                                <w:sz w:val="18"/>
                                <w:szCs w:val="16"/>
                              </w:rPr>
                            </w:pPr>
                            <w:r w:rsidRPr="00A25F67">
                              <w:rPr>
                                <w:rFonts w:ascii="Arial" w:hAnsi="Arial" w:cs="Arial"/>
                                <w:sz w:val="18"/>
                                <w:szCs w:val="16"/>
                              </w:rPr>
                              <w:t>Stakeholder engagement, refinement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EAF8" id="Text Box 61" o:spid="_x0000_s1028" type="#_x0000_t202" style="position:absolute;left:0;text-align:left;margin-left:316.5pt;margin-top:.7pt;width:116.5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" fillcolor="#bfdaf9 [669]" strokecolor="#4bacc6 [3208]" strokeweight=".5pt">
                <v:textbox>
                  <w:txbxContent>
                    <w:p w14:paraId="10255F99" w14:textId="77777777" w:rsidR="007D10D9" w:rsidRPr="00A25F67" w:rsidRDefault="007D10D9" w:rsidP="007D10D9">
                      <w:pPr>
                        <w:jc w:val="center"/>
                        <w:rPr>
                          <w:rFonts w:ascii="Arial" w:hAnsi="Arial" w:cs="Arial"/>
                          <w:sz w:val="18"/>
                          <w:szCs w:val="16"/>
                        </w:rPr>
                      </w:pPr>
                      <w:r w:rsidRPr="00A25F67">
                        <w:rPr>
                          <w:rFonts w:ascii="Arial" w:hAnsi="Arial" w:cs="Arial"/>
                          <w:sz w:val="18"/>
                          <w:szCs w:val="16"/>
                        </w:rPr>
                        <w:t>Stakeholder engagement, refinement</w:t>
                      </w:r>
                    </w:p>
                  </w:txbxContent>
                </v:textbox>
              </v:shape>
            </w:pict>
          </mc:Fallback>
        </mc:AlternateContent>
      </w:r>
      <w:r w:rsidR="00C3558A">
        <w:rPr>
          <w:noProof/>
          <w:lang w:eastAsia="en-GB"/>
        </w:rPr>
        <mc:AlternateContent>
          <mc:Choice Requires="wps">
            <w:drawing>
              <wp:anchor distT="0" distB="0" distL="114300" distR="114300" simplePos="0" relativeHeight="251658244" behindDoc="0" locked="0" layoutInCell="1" allowOverlap="1" wp14:anchorId="7C919F89" wp14:editId="1943E904">
                <wp:simplePos x="0" y="0"/>
                <wp:positionH relativeFrom="margin">
                  <wp:align>center</wp:align>
                </wp:positionH>
                <wp:positionV relativeFrom="paragraph">
                  <wp:posOffset>96091</wp:posOffset>
                </wp:positionV>
                <wp:extent cx="1339850" cy="260350"/>
                <wp:effectExtent l="0" t="0" r="12700" b="25400"/>
                <wp:wrapNone/>
                <wp:docPr id="23" name="Text Box 23"/>
                <wp:cNvGraphicFramePr/>
                <a:graphic xmlns:a="http://schemas.openxmlformats.org/drawingml/2006/main">
                  <a:graphicData uri="http://schemas.microsoft.com/office/word/2010/wordprocessingShape">
                    <wps:wsp>
                      <wps:cNvSpPr txBox="1"/>
                      <wps:spPr>
                        <a:xfrm>
                          <a:off x="0" y="0"/>
                          <a:ext cx="1339850" cy="260350"/>
                        </a:xfrm>
                        <a:prstGeom prst="rect">
                          <a:avLst/>
                        </a:prstGeom>
                        <a:solidFill>
                          <a:schemeClr val="accent5">
                            <a:lumMod val="20000"/>
                            <a:lumOff val="80000"/>
                          </a:schemeClr>
                        </a:solidFill>
                        <a:ln w="6350">
                          <a:solidFill>
                            <a:schemeClr val="accent5"/>
                          </a:solidFill>
                        </a:ln>
                      </wps:spPr>
                      <wps:txbx>
                        <w:txbxContent>
                          <w:p w14:paraId="0EB8676D" w14:textId="77777777" w:rsidR="00830181" w:rsidRPr="00A25F67" w:rsidRDefault="00830181" w:rsidP="00830181">
                            <w:pPr>
                              <w:rPr>
                                <w:rFonts w:ascii="Arial" w:hAnsi="Arial" w:cs="Arial"/>
                                <w:sz w:val="18"/>
                                <w:szCs w:val="16"/>
                              </w:rPr>
                            </w:pPr>
                            <w:r w:rsidRPr="00A25F67">
                              <w:rPr>
                                <w:rFonts w:ascii="Arial" w:hAnsi="Arial" w:cs="Arial"/>
                                <w:sz w:val="18"/>
                                <w:szCs w:val="16"/>
                              </w:rPr>
                              <w:t>Sometimes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19F89" id="Text Box 23" o:spid="_x0000_s1029" type="#_x0000_t202" style="position:absolute;left:0;text-align:left;margin-left:0;margin-top:7.55pt;width:105.5pt;height:20.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" fillcolor="#daeef3 [664]" strokecolor="#4bacc6 [3208]" strokeweight=".5pt">
                <v:textbox>
                  <w:txbxContent>
                    <w:p w14:paraId="0EB8676D" w14:textId="77777777" w:rsidR="00830181" w:rsidRPr="00A25F67" w:rsidRDefault="00830181" w:rsidP="00830181">
                      <w:pPr>
                        <w:rPr>
                          <w:rFonts w:ascii="Arial" w:hAnsi="Arial" w:cs="Arial"/>
                          <w:sz w:val="18"/>
                          <w:szCs w:val="16"/>
                        </w:rPr>
                      </w:pPr>
                      <w:r w:rsidRPr="00A25F67">
                        <w:rPr>
                          <w:rFonts w:ascii="Arial" w:hAnsi="Arial" w:cs="Arial"/>
                          <w:sz w:val="18"/>
                          <w:szCs w:val="16"/>
                        </w:rPr>
                        <w:t>Sometimes applicable</w:t>
                      </w:r>
                    </w:p>
                  </w:txbxContent>
                </v:textbox>
                <w10:wrap anchorx="margin"/>
              </v:shape>
            </w:pict>
          </mc:Fallback>
        </mc:AlternateContent>
      </w:r>
    </w:p>
    <w:p w14:paraId="5F0C4244" w14:textId="3B774A95" w:rsidR="003B137A" w:rsidRDefault="00553EAB" w:rsidP="00D17D9F">
      <w:pPr>
        <w:pStyle w:val="BodyText"/>
        <w:ind w:left="-283"/>
      </w:pPr>
      <w:r>
        <w:rPr>
          <w:noProof/>
          <w:lang w:eastAsia="en-GB"/>
        </w:rPr>
        <mc:AlternateContent>
          <mc:Choice Requires="wps">
            <w:drawing>
              <wp:anchor distT="0" distB="0" distL="114300" distR="114300" simplePos="0" relativeHeight="251658242" behindDoc="0" locked="0" layoutInCell="1" allowOverlap="1" wp14:anchorId="0EF3F963" wp14:editId="738EC726">
                <wp:simplePos x="0" y="0"/>
                <wp:positionH relativeFrom="column">
                  <wp:posOffset>4414520</wp:posOffset>
                </wp:positionH>
                <wp:positionV relativeFrom="paragraph">
                  <wp:posOffset>121285</wp:posOffset>
                </wp:positionV>
                <wp:extent cx="825500" cy="800100"/>
                <wp:effectExtent l="0" t="0" r="0" b="0"/>
                <wp:wrapNone/>
                <wp:docPr id="7" name="Arrow: Circular 7"/>
                <wp:cNvGraphicFramePr/>
                <a:graphic xmlns:a="http://schemas.openxmlformats.org/drawingml/2006/main">
                  <a:graphicData uri="http://schemas.microsoft.com/office/word/2010/wordprocessingShape">
                    <wps:wsp>
                      <wps:cNvSpPr/>
                      <wps:spPr>
                        <a:xfrm>
                          <a:off x="0" y="0"/>
                          <a:ext cx="825500" cy="800100"/>
                        </a:xfrm>
                        <a:prstGeom prst="circularArrow">
                          <a:avLst>
                            <a:gd name="adj1" fmla="val 0"/>
                            <a:gd name="adj2" fmla="val 748595"/>
                            <a:gd name="adj3" fmla="val 20153279"/>
                            <a:gd name="adj4" fmla="val 11533369"/>
                            <a:gd name="adj5" fmla="val 3959"/>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7AF0" id="Arrow: Circular 7" o:spid="_x0000_s1026" style="position:absolute;margin-left:347.6pt;margin-top:9.55pt;width:65pt;height: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" path="m40898,319498c76796,164646,211247,49421,374585,33528,536176,17805,690320,102810,758556,245276r31026,-6388l785462,323303,727532,251665r31025,-6389c690321,102810,536177,17805,374586,33528,211248,49421,76797,164646,40899,319498r-1,xe" fillcolor="#0070c0" strokecolor="#0e4e95 [3213]" strokeweight="1pt">
                <v:path arrowok="t" o:connecttype="custom" o:connectlocs="40898,319498;374585,33528;758556,245276;789582,238888;785462,323303;727532,251665;758557,245276;374586,33528;40899,319498;40898,319498" o:connectangles="0,0,0,0,0,0,0,0,0,0"/>
              </v:shape>
            </w:pict>
          </mc:Fallback>
        </mc:AlternateContent>
      </w:r>
      <w:r w:rsidR="00D83E4B">
        <w:rPr>
          <w:noProof/>
          <w:lang w:eastAsia="en-GB"/>
        </w:rPr>
        <w:drawing>
          <wp:inline distT="0" distB="0" distL="0" distR="0" wp14:anchorId="6948F714" wp14:editId="70D1E47F">
            <wp:extent cx="6076950" cy="207645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470CC6" w14:textId="0E6375F4" w:rsidR="003B137A" w:rsidRPr="009157C5" w:rsidRDefault="003B137A" w:rsidP="009157C5">
      <w:pPr>
        <w:pStyle w:val="Caption"/>
      </w:pPr>
      <w:bookmarkStart w:id="46" w:name="_Ref96602766"/>
      <w:r w:rsidRPr="009157C5">
        <w:t xml:space="preserve">Figure </w:t>
      </w:r>
      <w:r w:rsidR="00294997">
        <w:fldChar w:fldCharType="begin"/>
      </w:r>
      <w:r w:rsidR="00294997">
        <w:instrText xml:space="preserve"> STYLEREF 1 \s </w:instrText>
      </w:r>
      <w:r w:rsidR="00294997">
        <w:fldChar w:fldCharType="separate"/>
      </w:r>
      <w:r w:rsidR="004F713D" w:rsidRPr="009157C5">
        <w:t>4</w:t>
      </w:r>
      <w:r w:rsidR="00294997">
        <w:fldChar w:fldCharType="end"/>
      </w:r>
      <w:r w:rsidR="001D20CF" w:rsidRPr="009157C5">
        <w:t>.</w:t>
      </w:r>
      <w:r w:rsidR="00294997">
        <w:fldChar w:fldCharType="begin"/>
      </w:r>
      <w:r w:rsidR="00294997">
        <w:instrText xml:space="preserve"> SEQ Figure \* ARABIC \s 1 </w:instrText>
      </w:r>
      <w:r w:rsidR="00294997">
        <w:fldChar w:fldCharType="separate"/>
      </w:r>
      <w:r w:rsidR="00666E61" w:rsidRPr="009157C5">
        <w:t>1</w:t>
      </w:r>
      <w:r w:rsidR="00294997">
        <w:fldChar w:fldCharType="end"/>
      </w:r>
      <w:bookmarkEnd w:id="46"/>
      <w:r w:rsidRPr="009157C5">
        <w:t>: Fee determination model or process</w:t>
      </w:r>
    </w:p>
    <w:p w14:paraId="0771E577" w14:textId="77777777" w:rsidR="006604FD" w:rsidRPr="006604FD" w:rsidRDefault="006604FD" w:rsidP="00465A2E">
      <w:pPr>
        <w:pStyle w:val="NoSpacing"/>
      </w:pPr>
    </w:p>
    <w:p w14:paraId="16750D02" w14:textId="4FEE67AE" w:rsidR="00576E9B" w:rsidRDefault="006604FD" w:rsidP="006604FD">
      <w:pPr>
        <w:pStyle w:val="BodyText"/>
      </w:pPr>
      <w:r w:rsidRPr="006604FD">
        <w:rPr>
          <w:rStyle w:val="BodyTextChar"/>
        </w:rPr>
        <w:t xml:space="preserve">Fees for </w:t>
      </w:r>
      <w:proofErr w:type="spellStart"/>
      <w:r w:rsidRPr="006604FD">
        <w:rPr>
          <w:rStyle w:val="BodyTextChar"/>
        </w:rPr>
        <w:t>licences</w:t>
      </w:r>
      <w:proofErr w:type="spellEnd"/>
      <w:r w:rsidRPr="006604FD">
        <w:rPr>
          <w:rStyle w:val="BodyTextChar"/>
        </w:rPr>
        <w:t xml:space="preserve"> and permits under NEMBA are a source of government revenue. As such, fee determination, collection and adjustment are governed by the Public Finance Management Act (PFMA) of 1999 as amended and its associated Treasury Regulations. The PFMA is clear that accounting officers are required to annually review fees, appropriate adjust them if needed, gain approval from the relevant national or provincial Treasury, and publish them in the Government Gazette (generally using a simple and brief Notice in the relevant Gazette that focuses on providing the </w:t>
      </w:r>
      <w:r w:rsidR="006E59B9">
        <w:rPr>
          <w:rStyle w:val="BodyTextChar"/>
        </w:rPr>
        <w:t xml:space="preserve">recommended </w:t>
      </w:r>
      <w:r w:rsidRPr="006604FD">
        <w:rPr>
          <w:rStyle w:val="BodyTextChar"/>
        </w:rPr>
        <w:t xml:space="preserve">amended fees and inviting </w:t>
      </w:r>
      <w:r w:rsidR="006E59B9">
        <w:rPr>
          <w:rStyle w:val="BodyTextChar"/>
        </w:rPr>
        <w:t xml:space="preserve">stakeholder </w:t>
      </w:r>
      <w:r w:rsidRPr="006604FD">
        <w:rPr>
          <w:rStyle w:val="BodyTextChar"/>
        </w:rPr>
        <w:t xml:space="preserve">comment thereby avoiding the need to amend entire Regulations). The Analysis Report found that </w:t>
      </w:r>
      <w:r w:rsidRPr="006604FD">
        <w:rPr>
          <w:rStyle w:val="BodyTextChar"/>
        </w:rPr>
        <w:lastRenderedPageBreak/>
        <w:t xml:space="preserve">provincial issuing authorities that regularly review and adjust their fees do not seem to have significant constraints in meeting these requirements. Annual reviews are ideal and at a minimum they should revise fees to reflect inflation as is done by </w:t>
      </w:r>
      <w:proofErr w:type="gramStart"/>
      <w:r w:rsidRPr="006604FD">
        <w:rPr>
          <w:rStyle w:val="BodyTextChar"/>
        </w:rPr>
        <w:t>the majority of</w:t>
      </w:r>
      <w:proofErr w:type="gramEnd"/>
      <w:r w:rsidRPr="006604FD">
        <w:rPr>
          <w:rStyle w:val="BodyTextChar"/>
        </w:rPr>
        <w:t xml:space="preserve"> provincial issuing authorities. Where they are allowed for, bi-annual revisions are also an option that can reduce the</w:t>
      </w:r>
      <w:r w:rsidRPr="006604FD">
        <w:t xml:space="preserve"> administrative burden of the revision process even if there may be a slight loss in revenue.</w:t>
      </w:r>
    </w:p>
    <w:p w14:paraId="4575D9D8" w14:textId="4C582D2A" w:rsidR="00170F95" w:rsidRDefault="00170F95" w:rsidP="00170F95">
      <w:pPr>
        <w:pStyle w:val="Heading1"/>
      </w:pPr>
      <w:bookmarkStart w:id="47" w:name="_Ref99633333"/>
      <w:bookmarkStart w:id="48" w:name="_Toc100834552"/>
      <w:r>
        <w:t>Revenue potential from adjust</w:t>
      </w:r>
      <w:r w:rsidR="00633640">
        <w:t>ing</w:t>
      </w:r>
      <w:r>
        <w:t xml:space="preserve"> fees</w:t>
      </w:r>
      <w:bookmarkEnd w:id="47"/>
      <w:bookmarkEnd w:id="48"/>
    </w:p>
    <w:p w14:paraId="5F956106" w14:textId="2ADBAAE3" w:rsidR="00217FA0" w:rsidRDefault="009C5AF7" w:rsidP="00B462ED">
      <w:pPr>
        <w:pStyle w:val="BodyText"/>
        <w:rPr>
          <w:lang w:val="en-ZA" w:bidi="ar-SA"/>
        </w:rPr>
      </w:pPr>
      <w:r>
        <w:rPr>
          <w:lang w:val="en-ZA" w:bidi="ar-SA"/>
        </w:rPr>
        <w:t xml:space="preserve">Predicting </w:t>
      </w:r>
      <w:r w:rsidR="007A4D72">
        <w:rPr>
          <w:lang w:val="en-ZA" w:bidi="ar-SA"/>
        </w:rPr>
        <w:t>increased r</w:t>
      </w:r>
      <w:r>
        <w:rPr>
          <w:lang w:val="en-ZA" w:bidi="ar-SA"/>
        </w:rPr>
        <w:t xml:space="preserve">evenue </w:t>
      </w:r>
      <w:r w:rsidR="00825A4A">
        <w:rPr>
          <w:lang w:val="en-ZA" w:bidi="ar-SA"/>
        </w:rPr>
        <w:t>from</w:t>
      </w:r>
      <w:r>
        <w:rPr>
          <w:lang w:val="en-ZA" w:bidi="ar-SA"/>
        </w:rPr>
        <w:t xml:space="preserve"> fees </w:t>
      </w:r>
      <w:r w:rsidR="007A4D72">
        <w:rPr>
          <w:lang w:val="en-ZA" w:bidi="ar-SA"/>
        </w:rPr>
        <w:t>is difficult prior to the ap</w:t>
      </w:r>
      <w:r w:rsidR="00A203D4">
        <w:rPr>
          <w:lang w:val="en-ZA" w:bidi="ar-SA"/>
        </w:rPr>
        <w:t xml:space="preserve">plication of the </w:t>
      </w:r>
      <w:r w:rsidR="00D17C29">
        <w:rPr>
          <w:lang w:val="en-ZA" w:bidi="ar-SA"/>
        </w:rPr>
        <w:t>Fee Determination F</w:t>
      </w:r>
      <w:r w:rsidR="00A203D4">
        <w:rPr>
          <w:lang w:val="en-ZA" w:bidi="ar-SA"/>
        </w:rPr>
        <w:t xml:space="preserve">ramework to determine </w:t>
      </w:r>
      <w:r w:rsidR="00825A4A">
        <w:rPr>
          <w:lang w:val="en-ZA" w:bidi="ar-SA"/>
        </w:rPr>
        <w:t xml:space="preserve">appropriate adjusted fees. </w:t>
      </w:r>
      <w:r w:rsidR="00230B6D">
        <w:rPr>
          <w:lang w:val="en-ZA" w:bidi="ar-SA"/>
        </w:rPr>
        <w:t>Nevertheless</w:t>
      </w:r>
      <w:r w:rsidR="003E362A">
        <w:rPr>
          <w:lang w:val="en-ZA" w:bidi="ar-SA"/>
        </w:rPr>
        <w:t xml:space="preserve">, </w:t>
      </w:r>
      <w:r w:rsidR="003809E4">
        <w:rPr>
          <w:lang w:val="en-ZA" w:bidi="ar-SA"/>
        </w:rPr>
        <w:t xml:space="preserve">simply </w:t>
      </w:r>
      <w:r w:rsidR="002E6D9F">
        <w:rPr>
          <w:lang w:val="en-ZA" w:bidi="ar-SA"/>
        </w:rPr>
        <w:t xml:space="preserve">applying </w:t>
      </w:r>
      <w:r w:rsidR="00170F95">
        <w:rPr>
          <w:lang w:val="en-ZA" w:bidi="ar-SA"/>
        </w:rPr>
        <w:t>inflationary adjustments would result in increase</w:t>
      </w:r>
      <w:r w:rsidR="0045070C">
        <w:rPr>
          <w:lang w:val="en-ZA" w:bidi="ar-SA"/>
        </w:rPr>
        <w:t xml:space="preserve">d </w:t>
      </w:r>
      <w:r w:rsidR="00170F95">
        <w:rPr>
          <w:lang w:val="en-ZA" w:bidi="ar-SA"/>
        </w:rPr>
        <w:t xml:space="preserve">revenues </w:t>
      </w:r>
      <w:r w:rsidR="0045070C">
        <w:rPr>
          <w:lang w:val="en-ZA" w:bidi="ar-SA"/>
        </w:rPr>
        <w:t xml:space="preserve">of </w:t>
      </w:r>
      <w:r w:rsidR="007C1706">
        <w:rPr>
          <w:lang w:val="en-ZA" w:bidi="ar-SA"/>
        </w:rPr>
        <w:t xml:space="preserve">approximately </w:t>
      </w:r>
      <w:r w:rsidR="0045070C">
        <w:rPr>
          <w:lang w:val="en-ZA" w:bidi="ar-SA"/>
        </w:rPr>
        <w:t xml:space="preserve">R7.5 million </w:t>
      </w:r>
      <w:r w:rsidR="00843DAC">
        <w:rPr>
          <w:lang w:val="en-ZA" w:bidi="ar-SA"/>
        </w:rPr>
        <w:t xml:space="preserve">representing a 50% gain </w:t>
      </w:r>
      <w:r w:rsidR="00004DD3">
        <w:rPr>
          <w:lang w:val="en-ZA" w:bidi="ar-SA"/>
        </w:rPr>
        <w:t xml:space="preserve">relative to the </w:t>
      </w:r>
      <w:r w:rsidR="00170F95">
        <w:rPr>
          <w:lang w:val="en-ZA" w:bidi="ar-SA"/>
        </w:rPr>
        <w:t xml:space="preserve">pre-COVID </w:t>
      </w:r>
      <w:r w:rsidR="00004DD3">
        <w:rPr>
          <w:lang w:val="en-ZA" w:bidi="ar-SA"/>
        </w:rPr>
        <w:t xml:space="preserve">revenue </w:t>
      </w:r>
      <w:r w:rsidR="00170F95">
        <w:rPr>
          <w:lang w:val="en-ZA" w:bidi="ar-SA"/>
        </w:rPr>
        <w:t>baseline</w:t>
      </w:r>
      <w:r w:rsidR="0075124D">
        <w:rPr>
          <w:lang w:val="en-ZA" w:bidi="ar-SA"/>
        </w:rPr>
        <w:t xml:space="preserve"> (the average between 2018/19 and 2019/20)</w:t>
      </w:r>
      <w:r w:rsidR="00170F95">
        <w:rPr>
          <w:lang w:val="en-ZA" w:bidi="ar-SA"/>
        </w:rPr>
        <w:t xml:space="preserve"> of </w:t>
      </w:r>
      <w:r w:rsidR="003D45EE">
        <w:rPr>
          <w:lang w:val="en-ZA" w:bidi="ar-SA"/>
        </w:rPr>
        <w:t>R14.7 million</w:t>
      </w:r>
      <w:r w:rsidR="00170F95">
        <w:rPr>
          <w:lang w:val="en-ZA" w:bidi="ar-SA"/>
        </w:rPr>
        <w:t xml:space="preserve"> </w:t>
      </w:r>
      <w:r w:rsidR="003E362A">
        <w:rPr>
          <w:lang w:val="en-ZA" w:bidi="ar-SA"/>
        </w:rPr>
        <w:t>(</w:t>
      </w:r>
      <w:r w:rsidR="00286EC9">
        <w:rPr>
          <w:lang w:val="en-ZA" w:bidi="ar-SA"/>
        </w:rPr>
        <w:fldChar w:fldCharType="begin"/>
      </w:r>
      <w:r w:rsidR="00286EC9">
        <w:rPr>
          <w:lang w:val="en-ZA" w:bidi="ar-SA"/>
        </w:rPr>
        <w:instrText xml:space="preserve"> REF _Ref99714471 </w:instrText>
      </w:r>
      <w:r w:rsidR="00286EC9">
        <w:rPr>
          <w:lang w:val="en-ZA" w:bidi="ar-SA"/>
        </w:rPr>
        <w:fldChar w:fldCharType="separate"/>
      </w:r>
      <w:r w:rsidR="00286EC9">
        <w:t xml:space="preserve">Figure </w:t>
      </w:r>
      <w:r w:rsidR="00286EC9">
        <w:rPr>
          <w:noProof/>
        </w:rPr>
        <w:t>5</w:t>
      </w:r>
      <w:r w:rsidR="00286EC9">
        <w:t>.</w:t>
      </w:r>
      <w:r w:rsidR="00286EC9">
        <w:rPr>
          <w:noProof/>
        </w:rPr>
        <w:t>1</w:t>
      </w:r>
      <w:r w:rsidR="00286EC9">
        <w:rPr>
          <w:lang w:val="en-ZA" w:bidi="ar-SA"/>
        </w:rPr>
        <w:fldChar w:fldCharType="end"/>
      </w:r>
      <w:r w:rsidR="003E362A">
        <w:rPr>
          <w:lang w:val="en-ZA" w:bidi="ar-SA"/>
        </w:rPr>
        <w:t>)</w:t>
      </w:r>
      <w:r w:rsidR="00170F95">
        <w:rPr>
          <w:lang w:val="en-ZA" w:bidi="ar-SA"/>
        </w:rPr>
        <w:t xml:space="preserve">. </w:t>
      </w:r>
    </w:p>
    <w:p w14:paraId="2F79EAC3" w14:textId="1787A102" w:rsidR="00666E61" w:rsidRDefault="001F0677" w:rsidP="001F0677">
      <w:pPr>
        <w:pStyle w:val="BodyText"/>
        <w:rPr>
          <w:lang w:val="en-ZA" w:bidi="ar-SA"/>
        </w:rPr>
      </w:pPr>
      <w:r w:rsidRPr="001F0677">
        <w:rPr>
          <w:noProof/>
          <w:lang w:val="en-ZA"/>
        </w:rPr>
        <w:drawing>
          <wp:inline distT="0" distB="0" distL="0" distR="0" wp14:anchorId="493887FE" wp14:editId="592F41D2">
            <wp:extent cx="5755640" cy="3526790"/>
            <wp:effectExtent l="0" t="0" r="0" b="0"/>
            <wp:docPr id="5" name="Picture 2" descr="Chart, waterfall chart&#10;&#10;Description automatically generated">
              <a:extLst xmlns:a="http://schemas.openxmlformats.org/drawingml/2006/main">
                <a:ext uri="{FF2B5EF4-FFF2-40B4-BE49-F238E27FC236}">
                  <a16:creationId xmlns:a16="http://schemas.microsoft.com/office/drawing/2014/main" id="{E39BC8EF-1DC5-424A-BAD7-610147281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hart, waterfall chart&#10;&#10;Description automatically generated">
                      <a:extLst>
                        <a:ext uri="{FF2B5EF4-FFF2-40B4-BE49-F238E27FC236}">
                          <a16:creationId xmlns:a16="http://schemas.microsoft.com/office/drawing/2014/main" id="{E39BC8EF-1DC5-424A-BAD7-61014728156B}"/>
                        </a:ext>
                      </a:extLst>
                    </pic:cNvPr>
                    <pic:cNvPicPr>
                      <a:picLocks noChangeAspect="1"/>
                    </pic:cNvPicPr>
                  </pic:nvPicPr>
                  <pic:blipFill>
                    <a:blip r:embed="rId43"/>
                    <a:stretch>
                      <a:fillRect/>
                    </a:stretch>
                  </pic:blipFill>
                  <pic:spPr>
                    <a:xfrm>
                      <a:off x="0" y="0"/>
                      <a:ext cx="5755640" cy="3526790"/>
                    </a:xfrm>
                    <a:prstGeom prst="rect">
                      <a:avLst/>
                    </a:prstGeom>
                  </pic:spPr>
                </pic:pic>
              </a:graphicData>
            </a:graphic>
          </wp:inline>
        </w:drawing>
      </w:r>
    </w:p>
    <w:p w14:paraId="130CB1A0" w14:textId="37AA96FD" w:rsidR="00666E61" w:rsidRDefault="00666E61" w:rsidP="00666E61">
      <w:pPr>
        <w:pStyle w:val="Caption"/>
      </w:pPr>
      <w:bookmarkStart w:id="49" w:name="_Ref99714471"/>
      <w:r>
        <w:t xml:space="preserve">Figure </w:t>
      </w:r>
      <w:r w:rsidR="00294997">
        <w:fldChar w:fldCharType="begin"/>
      </w:r>
      <w:r w:rsidR="00294997">
        <w:instrText xml:space="preserve"> STYLEREF 1 \s </w:instrText>
      </w:r>
      <w:r w:rsidR="00294997">
        <w:fldChar w:fldCharType="separate"/>
      </w:r>
      <w:r>
        <w:rPr>
          <w:noProof/>
        </w:rPr>
        <w:t>5</w:t>
      </w:r>
      <w:r w:rsidR="00294997">
        <w:rPr>
          <w:noProof/>
        </w:rPr>
        <w:fldChar w:fldCharType="end"/>
      </w:r>
      <w:r w:rsidR="001D20CF">
        <w:t>.</w:t>
      </w:r>
      <w:r w:rsidR="00294997">
        <w:fldChar w:fldCharType="begin"/>
      </w:r>
      <w:r w:rsidR="00294997">
        <w:instrText xml:space="preserve"> SEQ Figure \* ARABIC \s 1 </w:instrText>
      </w:r>
      <w:r w:rsidR="00294997">
        <w:fldChar w:fldCharType="separate"/>
      </w:r>
      <w:r>
        <w:rPr>
          <w:noProof/>
        </w:rPr>
        <w:t>1</w:t>
      </w:r>
      <w:r w:rsidR="00294997">
        <w:rPr>
          <w:noProof/>
        </w:rPr>
        <w:fldChar w:fldCharType="end"/>
      </w:r>
      <w:bookmarkEnd w:id="49"/>
      <w:r>
        <w:t xml:space="preserve">: </w:t>
      </w:r>
      <w:r w:rsidR="000F5AC2">
        <w:t xml:space="preserve">Additional </w:t>
      </w:r>
      <w:r w:rsidR="00203D30">
        <w:t xml:space="preserve">provincial and national </w:t>
      </w:r>
      <w:r w:rsidR="000F5AC2">
        <w:t xml:space="preserve">revenue potential from </w:t>
      </w:r>
      <w:r w:rsidR="001F522B">
        <w:t>fee adjustment</w:t>
      </w:r>
      <w:r w:rsidR="00203D30">
        <w:t>s</w:t>
      </w:r>
      <w:r w:rsidR="001F522B">
        <w:t xml:space="preserve"> for inflation relative to c</w:t>
      </w:r>
      <w:r w:rsidR="00A12180">
        <w:t xml:space="preserve">urrent revenue </w:t>
      </w:r>
    </w:p>
    <w:p w14:paraId="48A27A56" w14:textId="77777777" w:rsidR="009739F7" w:rsidRDefault="009739F7" w:rsidP="009739F7">
      <w:pPr>
        <w:pStyle w:val="NoSpacing"/>
        <w:rPr>
          <w:lang w:val="en-ZA" w:bidi="ar-SA"/>
        </w:rPr>
      </w:pPr>
    </w:p>
    <w:p w14:paraId="246F8BE8" w14:textId="33F13C49" w:rsidR="00170F95" w:rsidRDefault="00D63647" w:rsidP="00DC613F">
      <w:pPr>
        <w:pStyle w:val="BodyText"/>
        <w:rPr>
          <w:lang w:val="en-ZA" w:bidi="ar-SA"/>
        </w:rPr>
      </w:pPr>
      <w:r>
        <w:rPr>
          <w:lang w:val="en-ZA" w:bidi="ar-SA"/>
        </w:rPr>
        <w:t xml:space="preserve">This increase in revenue is a likely minimum as </w:t>
      </w:r>
      <w:r w:rsidR="00AD2687">
        <w:rPr>
          <w:lang w:val="en-ZA" w:bidi="ar-SA"/>
        </w:rPr>
        <w:t>benchmarking</w:t>
      </w:r>
      <w:r w:rsidR="00D53245">
        <w:rPr>
          <w:lang w:val="en-ZA" w:bidi="ar-SA"/>
        </w:rPr>
        <w:t xml:space="preserve"> result</w:t>
      </w:r>
      <w:r w:rsidR="00325E27">
        <w:rPr>
          <w:lang w:val="en-ZA" w:bidi="ar-SA"/>
        </w:rPr>
        <w:t>s</w:t>
      </w:r>
      <w:r w:rsidR="00D53245">
        <w:rPr>
          <w:lang w:val="en-ZA" w:bidi="ar-SA"/>
        </w:rPr>
        <w:t xml:space="preserve"> indicate potential for </w:t>
      </w:r>
      <w:r w:rsidR="00325E27">
        <w:rPr>
          <w:lang w:val="en-ZA" w:bidi="ar-SA"/>
        </w:rPr>
        <w:t>fee</w:t>
      </w:r>
      <w:r w:rsidR="00D53245">
        <w:rPr>
          <w:lang w:val="en-ZA" w:bidi="ar-SA"/>
        </w:rPr>
        <w:t xml:space="preserve"> increases</w:t>
      </w:r>
      <w:r w:rsidR="00325E27">
        <w:rPr>
          <w:lang w:val="en-ZA" w:bidi="ar-SA"/>
        </w:rPr>
        <w:t xml:space="preserve"> beyond inflation</w:t>
      </w:r>
      <w:r w:rsidR="00923C81">
        <w:rPr>
          <w:lang w:val="en-ZA" w:bidi="ar-SA"/>
        </w:rPr>
        <w:t xml:space="preserve"> in certain instances</w:t>
      </w:r>
      <w:r w:rsidR="00D53245">
        <w:rPr>
          <w:lang w:val="en-ZA" w:bidi="ar-SA"/>
        </w:rPr>
        <w:t>.</w:t>
      </w:r>
      <w:r w:rsidR="006E3375">
        <w:rPr>
          <w:lang w:val="en-ZA" w:bidi="ar-SA"/>
        </w:rPr>
        <w:t xml:space="preserve"> At the risk of generalising, </w:t>
      </w:r>
      <w:r w:rsidR="00FE0952">
        <w:rPr>
          <w:lang w:val="en-ZA" w:bidi="ar-SA"/>
        </w:rPr>
        <w:t xml:space="preserve">national </w:t>
      </w:r>
      <w:r w:rsidR="006E3375">
        <w:rPr>
          <w:lang w:val="en-ZA" w:bidi="ar-SA"/>
        </w:rPr>
        <w:t>f</w:t>
      </w:r>
      <w:r w:rsidR="00923C81">
        <w:rPr>
          <w:lang w:val="en-ZA" w:bidi="ar-SA"/>
        </w:rPr>
        <w:t xml:space="preserve">ees for TOPS and AIS permits </w:t>
      </w:r>
      <w:r w:rsidR="00840304">
        <w:rPr>
          <w:lang w:val="en-ZA" w:bidi="ar-SA"/>
        </w:rPr>
        <w:t xml:space="preserve">are particularly low relative to </w:t>
      </w:r>
      <w:r w:rsidR="0065165C">
        <w:rPr>
          <w:lang w:val="en-ZA" w:bidi="ar-SA"/>
        </w:rPr>
        <w:t xml:space="preserve">those in </w:t>
      </w:r>
      <w:r w:rsidR="00840304">
        <w:rPr>
          <w:lang w:val="en-ZA" w:bidi="ar-SA"/>
        </w:rPr>
        <w:t>other countries. Fees for CITES</w:t>
      </w:r>
      <w:r w:rsidR="009A3B3D">
        <w:rPr>
          <w:lang w:val="en-ZA" w:bidi="ar-SA"/>
        </w:rPr>
        <w:t xml:space="preserve"> (</w:t>
      </w:r>
      <w:r w:rsidR="006502F8">
        <w:rPr>
          <w:lang w:val="en-ZA" w:bidi="ar-SA"/>
        </w:rPr>
        <w:t>in</w:t>
      </w:r>
      <w:r w:rsidR="009A3B3D">
        <w:rPr>
          <w:lang w:val="en-ZA" w:bidi="ar-SA"/>
        </w:rPr>
        <w:t xml:space="preserve"> the Draft </w:t>
      </w:r>
      <w:r w:rsidR="00D300DB">
        <w:rPr>
          <w:lang w:val="en-ZA" w:bidi="ar-SA"/>
        </w:rPr>
        <w:t xml:space="preserve">CITES </w:t>
      </w:r>
      <w:r w:rsidR="009A3B3D">
        <w:rPr>
          <w:lang w:val="en-ZA" w:bidi="ar-SA"/>
        </w:rPr>
        <w:t>Regulations)</w:t>
      </w:r>
      <w:r w:rsidR="00A41926">
        <w:rPr>
          <w:lang w:val="en-ZA" w:bidi="ar-SA"/>
        </w:rPr>
        <w:t>, boat-based whale watching, white shark cage diving</w:t>
      </w:r>
      <w:r w:rsidR="00462DB8">
        <w:rPr>
          <w:lang w:val="en-ZA" w:bidi="ar-SA"/>
        </w:rPr>
        <w:t>,</w:t>
      </w:r>
      <w:r w:rsidR="00A41926">
        <w:rPr>
          <w:lang w:val="en-ZA" w:bidi="ar-SA"/>
        </w:rPr>
        <w:t xml:space="preserve"> BABS</w:t>
      </w:r>
      <w:r w:rsidR="00462DB8">
        <w:rPr>
          <w:lang w:val="en-ZA" w:bidi="ar-SA"/>
        </w:rPr>
        <w:t xml:space="preserve"> and hunting</w:t>
      </w:r>
      <w:r w:rsidR="006502F8">
        <w:rPr>
          <w:lang w:val="en-ZA" w:bidi="ar-SA"/>
        </w:rPr>
        <w:t xml:space="preserve"> </w:t>
      </w:r>
      <w:r w:rsidR="00891850">
        <w:rPr>
          <w:lang w:val="en-ZA" w:bidi="ar-SA"/>
        </w:rPr>
        <w:t xml:space="preserve">generally compare </w:t>
      </w:r>
      <w:r w:rsidR="00462DB8">
        <w:rPr>
          <w:lang w:val="en-ZA" w:bidi="ar-SA"/>
        </w:rPr>
        <w:t>better</w:t>
      </w:r>
      <w:r w:rsidR="00891850">
        <w:rPr>
          <w:lang w:val="en-ZA" w:bidi="ar-SA"/>
        </w:rPr>
        <w:t xml:space="preserve"> with </w:t>
      </w:r>
      <w:r w:rsidR="00D300DB">
        <w:rPr>
          <w:lang w:val="en-ZA" w:bidi="ar-SA"/>
        </w:rPr>
        <w:t>those in other countries</w:t>
      </w:r>
      <w:r w:rsidR="009A3B3D">
        <w:rPr>
          <w:lang w:val="en-ZA" w:bidi="ar-SA"/>
        </w:rPr>
        <w:t xml:space="preserve">. </w:t>
      </w:r>
    </w:p>
    <w:p w14:paraId="6656FCC0" w14:textId="09D8000F" w:rsidR="00170F95" w:rsidRPr="00083F1F" w:rsidRDefault="00170F95" w:rsidP="00DC613F">
      <w:pPr>
        <w:pStyle w:val="BodyText"/>
        <w:rPr>
          <w:lang w:val="en-ZA"/>
        </w:rPr>
      </w:pPr>
      <w:r>
        <w:rPr>
          <w:lang w:val="en-ZA" w:bidi="ar-SA"/>
        </w:rPr>
        <w:lastRenderedPageBreak/>
        <w:t>As discussed, only the provincial issuing authorities of the Western Cape, KZN and Mpumalanga will be able to retain increased revenue from fees by virtue of their status as parastatal ‘</w:t>
      </w:r>
      <w:r w:rsidR="00032E5E">
        <w:rPr>
          <w:lang w:val="en-ZA" w:bidi="ar-SA"/>
        </w:rPr>
        <w:t>b</w:t>
      </w:r>
      <w:r>
        <w:rPr>
          <w:lang w:val="en-ZA" w:bidi="ar-SA"/>
        </w:rPr>
        <w:t>oards.’ The other provincial and national issuing authorities are not able to retain revenue which then flows to the general fiscus.</w:t>
      </w:r>
      <w:r w:rsidR="00A676B4">
        <w:rPr>
          <w:lang w:val="en-ZA" w:bidi="ar-SA"/>
        </w:rPr>
        <w:t xml:space="preserve"> </w:t>
      </w:r>
      <w:r w:rsidR="00E958A4">
        <w:rPr>
          <w:lang w:val="en-ZA" w:bidi="ar-SA"/>
        </w:rPr>
        <w:t xml:space="preserve">Increased revenue would therefore be of less direct benefit to </w:t>
      </w:r>
      <w:r w:rsidR="007F1642">
        <w:rPr>
          <w:lang w:val="en-ZA" w:bidi="ar-SA"/>
        </w:rPr>
        <w:t xml:space="preserve">these issuing authorities. However, showing that they are making efforts to optimise revenues should </w:t>
      </w:r>
      <w:r w:rsidR="004D6D8E">
        <w:rPr>
          <w:lang w:val="en-ZA" w:bidi="ar-SA"/>
        </w:rPr>
        <w:t>assist</w:t>
      </w:r>
      <w:r w:rsidR="004E620C">
        <w:rPr>
          <w:lang w:val="en-ZA" w:bidi="ar-SA"/>
        </w:rPr>
        <w:t xml:space="preserve"> them when motivating for budget allocations.</w:t>
      </w:r>
      <w:r w:rsidR="00A676B4">
        <w:rPr>
          <w:lang w:val="en-ZA" w:bidi="ar-SA"/>
        </w:rPr>
        <w:t xml:space="preserve"> </w:t>
      </w:r>
    </w:p>
    <w:p w14:paraId="4FE98C96" w14:textId="3FD0CD7E" w:rsidR="00BD7B07" w:rsidRDefault="00EC14C8" w:rsidP="00820CED">
      <w:pPr>
        <w:pStyle w:val="Heading1"/>
      </w:pPr>
      <w:bookmarkStart w:id="50" w:name="_Toc100834553"/>
      <w:r>
        <w:t>S</w:t>
      </w:r>
      <w:r w:rsidR="00C70FB0">
        <w:t>tandardization</w:t>
      </w:r>
      <w:r>
        <w:t xml:space="preserve"> of fees</w:t>
      </w:r>
      <w:bookmarkEnd w:id="50"/>
    </w:p>
    <w:p w14:paraId="6DD6D6E9" w14:textId="03C8EF59" w:rsidR="00AB1446" w:rsidRDefault="00671697" w:rsidP="00AB1446">
      <w:pPr>
        <w:pStyle w:val="BodyText"/>
      </w:pPr>
      <w:r>
        <w:t>Calls for a</w:t>
      </w:r>
      <w:r w:rsidR="002F7C06">
        <w:t xml:space="preserve"> more standardized approach to permits and </w:t>
      </w:r>
      <w:proofErr w:type="spellStart"/>
      <w:r w:rsidR="002F7C06">
        <w:t>licences</w:t>
      </w:r>
      <w:proofErr w:type="spellEnd"/>
      <w:r>
        <w:t xml:space="preserve"> have been made</w:t>
      </w:r>
      <w:r w:rsidR="00C5184C">
        <w:t xml:space="preserve"> both within government and</w:t>
      </w:r>
      <w:r>
        <w:t xml:space="preserve"> by </w:t>
      </w:r>
      <w:r w:rsidR="00AB788A">
        <w:t>stakeholders</w:t>
      </w:r>
      <w:r w:rsidR="00F7425C">
        <w:t>, primarily</w:t>
      </w:r>
      <w:r w:rsidR="00CA2F60">
        <w:t xml:space="preserve"> applicants wanting to avoid the </w:t>
      </w:r>
      <w:r w:rsidR="00CA3167">
        <w:t xml:space="preserve">frustrations </w:t>
      </w:r>
      <w:r w:rsidR="009A7CE2">
        <w:t xml:space="preserve">and costs </w:t>
      </w:r>
      <w:r w:rsidR="00CA2F60">
        <w:t>associated with different fee types</w:t>
      </w:r>
      <w:r w:rsidR="00D43BD6">
        <w:t xml:space="preserve">, </w:t>
      </w:r>
      <w:r w:rsidR="0010735D">
        <w:t xml:space="preserve">application processes and </w:t>
      </w:r>
      <w:r w:rsidR="00D43BD6">
        <w:t xml:space="preserve">amounts between provinces. </w:t>
      </w:r>
      <w:r w:rsidR="00674EF9">
        <w:t>Ther</w:t>
      </w:r>
      <w:r w:rsidR="00781FE8">
        <w:t>e</w:t>
      </w:r>
      <w:r w:rsidR="009B5C4A">
        <w:t xml:space="preserve"> seem</w:t>
      </w:r>
      <w:r w:rsidR="00781FE8">
        <w:t>s</w:t>
      </w:r>
      <w:r w:rsidR="009B5C4A">
        <w:t xml:space="preserve"> to be </w:t>
      </w:r>
      <w:proofErr w:type="gramStart"/>
      <w:r w:rsidR="009B5C4A">
        <w:t>general consensus</w:t>
      </w:r>
      <w:proofErr w:type="gramEnd"/>
      <w:r w:rsidR="009B5C4A">
        <w:t xml:space="preserve"> that current </w:t>
      </w:r>
      <w:r w:rsidR="00485996">
        <w:t>systems</w:t>
      </w:r>
      <w:r w:rsidR="009B5C4A">
        <w:t xml:space="preserve"> are </w:t>
      </w:r>
      <w:r w:rsidR="0063704E">
        <w:t xml:space="preserve">too complex and costly. </w:t>
      </w:r>
      <w:r w:rsidR="008034D9">
        <w:t>Although t</w:t>
      </w:r>
      <w:r w:rsidR="00766595">
        <w:t>his project focuses on fee amount determination</w:t>
      </w:r>
      <w:r w:rsidR="00AB1446">
        <w:t xml:space="preserve">, some comments are </w:t>
      </w:r>
      <w:r w:rsidR="00D568C8">
        <w:t xml:space="preserve">possible </w:t>
      </w:r>
      <w:r w:rsidR="00562FE0">
        <w:t xml:space="preserve">to </w:t>
      </w:r>
      <w:r w:rsidR="00AB1446">
        <w:t xml:space="preserve">assist </w:t>
      </w:r>
      <w:r w:rsidR="00F037DF">
        <w:t>discussions</w:t>
      </w:r>
      <w:r w:rsidR="00AB1446">
        <w:t xml:space="preserve"> around </w:t>
      </w:r>
      <w:proofErr w:type="spellStart"/>
      <w:r w:rsidR="00AB1446">
        <w:t>standardi</w:t>
      </w:r>
      <w:r w:rsidR="00985330">
        <w:t>s</w:t>
      </w:r>
      <w:r w:rsidR="00AB1446">
        <w:t>ation</w:t>
      </w:r>
      <w:proofErr w:type="spellEnd"/>
      <w:r w:rsidR="00AB1446">
        <w:t xml:space="preserve">. </w:t>
      </w:r>
    </w:p>
    <w:p w14:paraId="162BC624" w14:textId="305ABAAC" w:rsidR="008E635E" w:rsidRDefault="00FF7A88" w:rsidP="00766595">
      <w:pPr>
        <w:pStyle w:val="BodyText"/>
      </w:pPr>
      <w:r>
        <w:t xml:space="preserve">Given its wide-ranging implications, </w:t>
      </w:r>
      <w:proofErr w:type="spellStart"/>
      <w:r>
        <w:t>s</w:t>
      </w:r>
      <w:r w:rsidR="00514FDF">
        <w:t>tandardisation</w:t>
      </w:r>
      <w:proofErr w:type="spellEnd"/>
      <w:r w:rsidR="00514FDF">
        <w:t xml:space="preserve"> </w:t>
      </w:r>
      <w:r w:rsidR="00EC304C">
        <w:t>would first require an in-</w:t>
      </w:r>
      <w:proofErr w:type="gramStart"/>
      <w:r w:rsidR="00EC304C">
        <w:t>principle</w:t>
      </w:r>
      <w:proofErr w:type="gramEnd"/>
      <w:r w:rsidR="00EC304C">
        <w:t xml:space="preserve"> willingness </w:t>
      </w:r>
      <w:r w:rsidR="004D638F">
        <w:t xml:space="preserve">among the provinces to pursue it. This </w:t>
      </w:r>
      <w:r w:rsidR="00E75FFF">
        <w:t xml:space="preserve">may be difficult to achieve for </w:t>
      </w:r>
      <w:r w:rsidR="00C77A10">
        <w:t>political reasons and would</w:t>
      </w:r>
      <w:r w:rsidR="008D3A20">
        <w:t>, for example, probably require</w:t>
      </w:r>
      <w:r w:rsidR="00C77A10">
        <w:t xml:space="preserve"> </w:t>
      </w:r>
      <w:r w:rsidR="00573175">
        <w:t>assurances</w:t>
      </w:r>
      <w:r w:rsidR="002F2D8C">
        <w:t xml:space="preserve"> </w:t>
      </w:r>
      <w:r w:rsidR="00C77A10">
        <w:t xml:space="preserve">that </w:t>
      </w:r>
      <w:r w:rsidR="002F2D8C">
        <w:t xml:space="preserve">provincial fees </w:t>
      </w:r>
      <w:r w:rsidR="00164752">
        <w:t xml:space="preserve">revenues will not decrease </w:t>
      </w:r>
      <w:proofErr w:type="gramStart"/>
      <w:r w:rsidR="00164752">
        <w:t>as a result of</w:t>
      </w:r>
      <w:proofErr w:type="gramEnd"/>
      <w:r w:rsidR="00164752">
        <w:t xml:space="preserve"> </w:t>
      </w:r>
      <w:proofErr w:type="spellStart"/>
      <w:r w:rsidR="00164752">
        <w:t>standardi</w:t>
      </w:r>
      <w:r w:rsidR="00834C0C">
        <w:t>s</w:t>
      </w:r>
      <w:r w:rsidR="00164752">
        <w:t>ation</w:t>
      </w:r>
      <w:proofErr w:type="spellEnd"/>
      <w:r w:rsidR="00164752">
        <w:t xml:space="preserve">. </w:t>
      </w:r>
      <w:r w:rsidR="00155E81">
        <w:t>Stakeholders have commented that i</w:t>
      </w:r>
      <w:r w:rsidR="004632E7">
        <w:t>t may even be worth considering a complete system overhaul whereby</w:t>
      </w:r>
      <w:r w:rsidR="001E7C96">
        <w:t xml:space="preserve"> the</w:t>
      </w:r>
      <w:r w:rsidR="004632E7">
        <w:t xml:space="preserve"> </w:t>
      </w:r>
      <w:r w:rsidR="001E7C96">
        <w:t xml:space="preserve">issuing of permits and </w:t>
      </w:r>
      <w:proofErr w:type="spellStart"/>
      <w:r w:rsidR="001E7C96">
        <w:t>licences</w:t>
      </w:r>
      <w:proofErr w:type="spellEnd"/>
      <w:r w:rsidR="001E7C96">
        <w:t xml:space="preserve"> is undertaken entirely by national DFFE and not the </w:t>
      </w:r>
      <w:r w:rsidR="00940FBB">
        <w:t>provinces</w:t>
      </w:r>
      <w:r w:rsidR="001E7C96">
        <w:t xml:space="preserve">. </w:t>
      </w:r>
    </w:p>
    <w:p w14:paraId="5DC87A17" w14:textId="23C551AA" w:rsidR="007A5536" w:rsidRDefault="008E635E" w:rsidP="003B71FB">
      <w:pPr>
        <w:pStyle w:val="BodyText"/>
      </w:pPr>
      <w:r>
        <w:t>If it is to be pursued, s</w:t>
      </w:r>
      <w:proofErr w:type="spellStart"/>
      <w:r w:rsidR="00AE5E84" w:rsidRPr="00FA4A97">
        <w:rPr>
          <w:lang w:val="en-ZA" w:bidi="ar-SA"/>
        </w:rPr>
        <w:t>tandardisation</w:t>
      </w:r>
      <w:proofErr w:type="spellEnd"/>
      <w:r w:rsidR="00AE5E84" w:rsidRPr="00FA4A97">
        <w:rPr>
          <w:lang w:val="en-ZA" w:bidi="ar-SA"/>
        </w:rPr>
        <w:t xml:space="preserve"> of fee amounts </w:t>
      </w:r>
      <w:r>
        <w:rPr>
          <w:lang w:val="en-ZA" w:bidi="ar-SA"/>
        </w:rPr>
        <w:t xml:space="preserve">would have to be </w:t>
      </w:r>
      <w:r w:rsidR="00AE5E84" w:rsidRPr="00FA4A97">
        <w:rPr>
          <w:lang w:val="en-ZA" w:bidi="ar-SA"/>
        </w:rPr>
        <w:t xml:space="preserve">preceded by other </w:t>
      </w:r>
      <w:r w:rsidR="00F2292B">
        <w:rPr>
          <w:lang w:val="en-ZA" w:bidi="ar-SA"/>
        </w:rPr>
        <w:t xml:space="preserve">forms of </w:t>
      </w:r>
      <w:r w:rsidR="00AE5E84" w:rsidRPr="00FA4A97">
        <w:rPr>
          <w:lang w:val="en-ZA" w:bidi="ar-SA"/>
        </w:rPr>
        <w:t>standardisation or alignment</w:t>
      </w:r>
      <w:r w:rsidR="00F2292B">
        <w:rPr>
          <w:lang w:val="en-ZA" w:bidi="ar-SA"/>
        </w:rPr>
        <w:t xml:space="preserve">. These would need to </w:t>
      </w:r>
      <w:r w:rsidR="00CB3DE7">
        <w:rPr>
          <w:lang w:val="en-ZA" w:bidi="ar-SA"/>
        </w:rPr>
        <w:t>includ</w:t>
      </w:r>
      <w:r w:rsidR="00F2292B">
        <w:rPr>
          <w:lang w:val="en-ZA" w:bidi="ar-SA"/>
        </w:rPr>
        <w:t>e</w:t>
      </w:r>
      <w:r w:rsidR="00AE5E84" w:rsidRPr="00FA4A97">
        <w:rPr>
          <w:lang w:val="en-ZA" w:bidi="ar-SA"/>
        </w:rPr>
        <w:t xml:space="preserve"> uniform provincial legislation, </w:t>
      </w:r>
      <w:r w:rsidR="00D03A41">
        <w:rPr>
          <w:lang w:val="en-ZA" w:bidi="ar-SA"/>
        </w:rPr>
        <w:t xml:space="preserve">a </w:t>
      </w:r>
      <w:r w:rsidR="00AE5E84" w:rsidRPr="00FA4A97">
        <w:rPr>
          <w:lang w:val="en-ZA" w:bidi="ar-SA"/>
        </w:rPr>
        <w:t xml:space="preserve">more uniform approach to some permits particularly hunting, </w:t>
      </w:r>
      <w:r w:rsidR="00FC0D33">
        <w:rPr>
          <w:lang w:val="en-ZA" w:bidi="ar-SA"/>
        </w:rPr>
        <w:t xml:space="preserve">rationalisation and </w:t>
      </w:r>
      <w:r w:rsidR="00AE5E84" w:rsidRPr="00FA4A97">
        <w:rPr>
          <w:lang w:val="en-ZA" w:bidi="ar-SA"/>
        </w:rPr>
        <w:t>alignment of permit types and names, alignment of permit validity periods, alignment of permitting protocols or work processes, etc.</w:t>
      </w:r>
      <w:r w:rsidR="00CC775B">
        <w:rPr>
          <w:lang w:val="en-ZA" w:bidi="ar-SA"/>
        </w:rPr>
        <w:t xml:space="preserve"> </w:t>
      </w:r>
      <w:r>
        <w:rPr>
          <w:lang w:val="en-ZA" w:bidi="ar-SA"/>
        </w:rPr>
        <w:t>Standardised fee amounts therefore</w:t>
      </w:r>
      <w:r w:rsidR="00111124">
        <w:rPr>
          <w:lang w:val="en-ZA" w:bidi="ar-SA"/>
        </w:rPr>
        <w:t xml:space="preserve"> become relevant </w:t>
      </w:r>
      <w:r w:rsidR="00794D14">
        <w:rPr>
          <w:lang w:val="en-ZA" w:bidi="ar-SA"/>
        </w:rPr>
        <w:t xml:space="preserve">only once other forms of standardisation </w:t>
      </w:r>
      <w:r w:rsidR="003B71FB">
        <w:rPr>
          <w:lang w:val="en-ZA" w:bidi="ar-SA"/>
        </w:rPr>
        <w:t xml:space="preserve">have been </w:t>
      </w:r>
      <w:r w:rsidR="00E92585">
        <w:rPr>
          <w:lang w:val="en-ZA" w:bidi="ar-SA"/>
        </w:rPr>
        <w:t>dealt with</w:t>
      </w:r>
      <w:r w:rsidR="003B71FB">
        <w:rPr>
          <w:lang w:val="en-ZA" w:bidi="ar-SA"/>
        </w:rPr>
        <w:t>.</w:t>
      </w:r>
    </w:p>
    <w:p w14:paraId="60C19A17" w14:textId="1AA9D106" w:rsidR="00D03A41" w:rsidRDefault="00D03A41" w:rsidP="00766595">
      <w:pPr>
        <w:pStyle w:val="BodyText"/>
      </w:pPr>
      <w:r>
        <w:t xml:space="preserve">There </w:t>
      </w:r>
      <w:r w:rsidR="002B0022">
        <w:t xml:space="preserve">is no inherent reason why </w:t>
      </w:r>
      <w:proofErr w:type="spellStart"/>
      <w:r w:rsidR="002B0022">
        <w:t>standardi</w:t>
      </w:r>
      <w:r w:rsidR="00834C0C">
        <w:t>s</w:t>
      </w:r>
      <w:r w:rsidR="002B0022">
        <w:t>ed</w:t>
      </w:r>
      <w:proofErr w:type="spellEnd"/>
      <w:r w:rsidR="002B0022">
        <w:t xml:space="preserve"> fee amounts cannot be determined</w:t>
      </w:r>
      <w:r w:rsidR="00173229">
        <w:t xml:space="preserve"> as part of an overall process of </w:t>
      </w:r>
      <w:proofErr w:type="spellStart"/>
      <w:r w:rsidR="00173229">
        <w:t>standardisation</w:t>
      </w:r>
      <w:proofErr w:type="spellEnd"/>
      <w:r w:rsidR="002B0022">
        <w:t xml:space="preserve">. However, </w:t>
      </w:r>
      <w:r w:rsidR="00992310">
        <w:t xml:space="preserve">current </w:t>
      </w:r>
      <w:r w:rsidR="00D5436F">
        <w:t xml:space="preserve">permit </w:t>
      </w:r>
      <w:r w:rsidR="00992310">
        <w:t xml:space="preserve">fee </w:t>
      </w:r>
      <w:proofErr w:type="gramStart"/>
      <w:r w:rsidR="00992310">
        <w:t>amounts</w:t>
      </w:r>
      <w:proofErr w:type="gramEnd"/>
      <w:r w:rsidR="00992310">
        <w:t xml:space="preserve"> and permit processing costs vary by several orders of magnitude</w:t>
      </w:r>
      <w:r w:rsidR="00D50BEA">
        <w:t xml:space="preserve"> </w:t>
      </w:r>
      <w:r w:rsidR="00D5436F">
        <w:t xml:space="preserve">between provinces </w:t>
      </w:r>
      <w:r w:rsidR="00D50BEA">
        <w:t xml:space="preserve">which </w:t>
      </w:r>
      <w:r w:rsidR="009714AF">
        <w:t xml:space="preserve">will make </w:t>
      </w:r>
      <w:proofErr w:type="spellStart"/>
      <w:r w:rsidR="009714AF">
        <w:t>standardi</w:t>
      </w:r>
      <w:r w:rsidR="00E6476E">
        <w:t>s</w:t>
      </w:r>
      <w:r w:rsidR="009714AF">
        <w:t>ing</w:t>
      </w:r>
      <w:proofErr w:type="spellEnd"/>
      <w:r w:rsidR="009714AF">
        <w:t xml:space="preserve"> more challenging</w:t>
      </w:r>
      <w:r w:rsidR="00D50BEA">
        <w:t xml:space="preserve">. </w:t>
      </w:r>
    </w:p>
    <w:p w14:paraId="771B45D2" w14:textId="77777777" w:rsidR="007D0073" w:rsidRDefault="007D0073" w:rsidP="00766595">
      <w:pPr>
        <w:pStyle w:val="BodyText"/>
      </w:pPr>
    </w:p>
    <w:p w14:paraId="57992F31" w14:textId="7A38826F" w:rsidR="009D73CE" w:rsidRDefault="009D73CE" w:rsidP="009D73CE">
      <w:pPr>
        <w:pStyle w:val="Heading1"/>
      </w:pPr>
      <w:bookmarkStart w:id="51" w:name="_Toc100834554"/>
      <w:r>
        <w:t>Conclusion</w:t>
      </w:r>
      <w:r w:rsidR="00EB0CFB">
        <w:t>s</w:t>
      </w:r>
      <w:bookmarkEnd w:id="51"/>
    </w:p>
    <w:p w14:paraId="342F75C7" w14:textId="03D0C0D5" w:rsidR="00AD2687" w:rsidRDefault="009F647B" w:rsidP="00B0147C">
      <w:pPr>
        <w:pStyle w:val="BodyText"/>
        <w:rPr>
          <w:lang w:val="en-ZA" w:bidi="ar-SA"/>
        </w:rPr>
      </w:pPr>
      <w:r w:rsidRPr="009F647B">
        <w:t>The permitting and licen</w:t>
      </w:r>
      <w:r w:rsidR="00EB0CFB">
        <w:t>s</w:t>
      </w:r>
      <w:r w:rsidRPr="009F647B">
        <w:t xml:space="preserve">ing system entails a significant cost to government and </w:t>
      </w:r>
      <w:r w:rsidR="001D6748">
        <w:t xml:space="preserve">appropriate </w:t>
      </w:r>
      <w:r w:rsidRPr="009F647B">
        <w:t>fees provide an opportunity to recover a portion of these costs.</w:t>
      </w:r>
      <w:r w:rsidR="003D738F">
        <w:t xml:space="preserve"> </w:t>
      </w:r>
      <w:r w:rsidR="00A41D3B" w:rsidRPr="00A41D3B">
        <w:t>The opportunity cost of not reviewing and adjusting fees more regularly is significant</w:t>
      </w:r>
      <w:r w:rsidR="004058A3">
        <w:t xml:space="preserve">. </w:t>
      </w:r>
      <w:r w:rsidR="00B0147C">
        <w:t>S</w:t>
      </w:r>
      <w:r w:rsidR="004058A3">
        <w:rPr>
          <w:lang w:val="en-ZA" w:bidi="ar-SA"/>
        </w:rPr>
        <w:t xml:space="preserve">imply applying inflationary </w:t>
      </w:r>
      <w:r w:rsidR="004058A3">
        <w:rPr>
          <w:lang w:val="en-ZA" w:bidi="ar-SA"/>
        </w:rPr>
        <w:lastRenderedPageBreak/>
        <w:t>adjustments would result in increased revenues of approximately R7.5 million representing a 50% gain relative to the pre-COVID revenue baseline (the average between 2018/19 and 2019/20) of R14.7 million</w:t>
      </w:r>
      <w:r w:rsidR="00B0147C">
        <w:rPr>
          <w:lang w:val="en-ZA" w:bidi="ar-SA"/>
        </w:rPr>
        <w:t xml:space="preserve">. </w:t>
      </w:r>
      <w:r w:rsidR="00AD2687">
        <w:rPr>
          <w:lang w:val="en-ZA" w:bidi="ar-SA"/>
        </w:rPr>
        <w:t xml:space="preserve">This increase in revenue is a likely minimum as benchmarking results indicate potential for fee increases beyond inflation in certain instances. At the risk of generalising, national fees for TOPS and AIS permits are particularly low relative to those in other countries. Fees for CITES (in the Draft CITES Regulations), boat-based whale watching, white shark cage diving, BABS and hunting generally compare better with those in other countries. </w:t>
      </w:r>
    </w:p>
    <w:p w14:paraId="002B92FC" w14:textId="76A2E50D" w:rsidR="00A41D3B" w:rsidRPr="00A41D3B" w:rsidRDefault="009274F6" w:rsidP="00164438">
      <w:pPr>
        <w:pStyle w:val="BodyText"/>
        <w:rPr>
          <w:lang w:val="en-ZA"/>
        </w:rPr>
      </w:pPr>
      <w:r>
        <w:t xml:space="preserve">Determining appropriate fee amounts is seldom straightforward and is an important element in the success of the overall regulatory framework around permits and </w:t>
      </w:r>
      <w:proofErr w:type="spellStart"/>
      <w:r>
        <w:t>licences</w:t>
      </w:r>
      <w:proofErr w:type="spellEnd"/>
      <w:r>
        <w:t xml:space="preserve">. </w:t>
      </w:r>
      <w:r w:rsidR="00940152">
        <w:t>Aside from their direct link to revenues, f</w:t>
      </w:r>
      <w:r>
        <w:t xml:space="preserve">ees can influence the </w:t>
      </w:r>
      <w:proofErr w:type="spellStart"/>
      <w:r>
        <w:t>behaviour</w:t>
      </w:r>
      <w:proofErr w:type="spellEnd"/>
      <w:r>
        <w:t xml:space="preserve"> of applicants and the relationship that applicants have with regulators. </w:t>
      </w:r>
      <w:r w:rsidR="00A41D3B" w:rsidRPr="00A41D3B">
        <w:t>Adopting the Fee Determination Framework should assist with the challenging and ongoing process of determining and adjusting fees appropriately.</w:t>
      </w:r>
      <w:r w:rsidR="00164438">
        <w:t xml:space="preserve"> </w:t>
      </w:r>
      <w:r w:rsidR="005631CD">
        <w:t xml:space="preserve">Application of the </w:t>
      </w:r>
      <w:r w:rsidR="00A41D3B" w:rsidRPr="00A41D3B">
        <w:t xml:space="preserve">Framework </w:t>
      </w:r>
      <w:r w:rsidR="00EA0C67">
        <w:t>should</w:t>
      </w:r>
      <w:r w:rsidR="00A41D3B" w:rsidRPr="00A41D3B">
        <w:t xml:space="preserve"> not </w:t>
      </w:r>
      <w:r w:rsidR="00EA0C67">
        <w:t xml:space="preserve">be </w:t>
      </w:r>
      <w:r w:rsidR="00A41D3B" w:rsidRPr="00A41D3B">
        <w:t xml:space="preserve">complex but does rely on improved data generation and keeping by issuing authorities (e.g. of permit processing costs). </w:t>
      </w:r>
    </w:p>
    <w:p w14:paraId="33AB04C3" w14:textId="718D819C" w:rsidR="00A41D3B" w:rsidRPr="00A41D3B" w:rsidRDefault="00A41D3B" w:rsidP="00AA11B8">
      <w:pPr>
        <w:pStyle w:val="BodyText"/>
        <w:rPr>
          <w:lang w:val="en-ZA"/>
        </w:rPr>
      </w:pPr>
      <w:r w:rsidRPr="00A41D3B">
        <w:t>Fee amounts and processing costs estimates for some fee types were found to vary by multiples of over 10 between provinces highlighting both the case for standardization and the challenges that would be associated with it.</w:t>
      </w:r>
      <w:r w:rsidR="00AA11B8">
        <w:t xml:space="preserve"> In any event, s</w:t>
      </w:r>
      <w:proofErr w:type="spellStart"/>
      <w:r w:rsidRPr="00A41D3B">
        <w:rPr>
          <w:lang w:val="en-ZA"/>
        </w:rPr>
        <w:t>tandardi</w:t>
      </w:r>
      <w:r w:rsidR="00AA11B8">
        <w:rPr>
          <w:lang w:val="en-ZA"/>
        </w:rPr>
        <w:t>s</w:t>
      </w:r>
      <w:r w:rsidRPr="00A41D3B">
        <w:rPr>
          <w:lang w:val="en-ZA"/>
        </w:rPr>
        <w:t>ation</w:t>
      </w:r>
      <w:proofErr w:type="spellEnd"/>
      <w:r w:rsidRPr="00A41D3B">
        <w:rPr>
          <w:lang w:val="en-ZA"/>
        </w:rPr>
        <w:t xml:space="preserve"> of fee amounts should be preceded by other forms of standardisation or rationalisation including more uniform provincial legislation, rationalisation and alignment of permit types and names, alignment of permit validity periods, alignment of permitting protocols or work processes, etc.</w:t>
      </w:r>
    </w:p>
    <w:p w14:paraId="25C70F74" w14:textId="77777777" w:rsidR="009F647B" w:rsidRPr="009F647B" w:rsidRDefault="009F647B" w:rsidP="009D73CE">
      <w:pPr>
        <w:pStyle w:val="BodyText"/>
        <w:rPr>
          <w:lang w:val="en-ZA"/>
        </w:rPr>
      </w:pPr>
    </w:p>
    <w:p w14:paraId="45B21674" w14:textId="77777777" w:rsidR="002B00F9" w:rsidRDefault="002B00F9" w:rsidP="00420D62">
      <w:pPr>
        <w:pStyle w:val="BodyText"/>
        <w:rPr>
          <w:lang w:eastAsia="en-GB"/>
        </w:rPr>
      </w:pPr>
    </w:p>
    <w:p w14:paraId="115FA892" w14:textId="77777777" w:rsidR="007F2091" w:rsidRDefault="007F2091" w:rsidP="00420D62">
      <w:pPr>
        <w:pStyle w:val="BodyText"/>
        <w:rPr>
          <w:lang w:eastAsia="en-GB"/>
        </w:rPr>
      </w:pPr>
    </w:p>
    <w:p w14:paraId="3FB65329" w14:textId="77777777" w:rsidR="00350C07" w:rsidRDefault="00350C07">
      <w:pPr>
        <w:autoSpaceDE/>
        <w:autoSpaceDN/>
        <w:adjustRightInd/>
        <w:spacing w:after="0" w:line="240" w:lineRule="auto"/>
        <w:rPr>
          <w:rFonts w:ascii="Arial" w:hAnsi="Arial" w:cs="Arial"/>
          <w:bCs/>
          <w:color w:val="143C71"/>
          <w:kern w:val="32"/>
          <w:sz w:val="40"/>
          <w:szCs w:val="40"/>
        </w:rPr>
      </w:pPr>
      <w:r>
        <w:br w:type="page"/>
      </w:r>
    </w:p>
    <w:p w14:paraId="27918D80" w14:textId="5C1449CA" w:rsidR="007F2091" w:rsidRDefault="007F2091" w:rsidP="00420D62">
      <w:pPr>
        <w:pStyle w:val="BodyText"/>
        <w:rPr>
          <w:lang w:eastAsia="en-GB"/>
        </w:rPr>
        <w:sectPr w:rsidR="007F2091" w:rsidSect="00D34F26">
          <w:type w:val="continuous"/>
          <w:pgSz w:w="11900" w:h="16840" w:code="9"/>
          <w:pgMar w:top="1985" w:right="1418" w:bottom="1418" w:left="1418" w:header="851" w:footer="851" w:gutter="0"/>
          <w:cols w:space="708"/>
          <w:docGrid w:linePitch="299"/>
        </w:sectPr>
      </w:pPr>
    </w:p>
    <w:p w14:paraId="25CAF07D" w14:textId="2B072962" w:rsidR="002B00F9" w:rsidRDefault="002B00F9" w:rsidP="002B00F9">
      <w:pPr>
        <w:pStyle w:val="Heading1"/>
      </w:pPr>
      <w:bookmarkStart w:id="52" w:name="_Toc100834555"/>
      <w:r>
        <w:lastRenderedPageBreak/>
        <w:t>References</w:t>
      </w:r>
      <w:bookmarkEnd w:id="52"/>
    </w:p>
    <w:p w14:paraId="2005CDFE" w14:textId="280C310E" w:rsidR="008522A7" w:rsidRDefault="008522A7" w:rsidP="008522A7">
      <w:pPr>
        <w:pStyle w:val="BodyText"/>
        <w:rPr>
          <w:lang w:val="pt-PT"/>
        </w:rPr>
      </w:pPr>
      <w:r>
        <w:t xml:space="preserve">AUDSEWPC (Australian Government Department of Sustainability, Environment, Water, Population and Communities). 2013. Wildlife Trade Permits - Cost Recovery under the Environment Protection and Biodiversity Conservation Act 1999: COST RECOVERY IMPACT STATEMENT (July 2013 – June 2018). </w:t>
      </w:r>
      <w:r w:rsidRPr="00727135">
        <w:rPr>
          <w:lang w:val="pt-PT"/>
        </w:rPr>
        <w:t xml:space="preserve">AUDSEWPC, Canberra. </w:t>
      </w:r>
      <w:hyperlink r:id="rId44" w:history="1">
        <w:r w:rsidR="00FB7756" w:rsidRPr="0064090B">
          <w:rPr>
            <w:rStyle w:val="Hyperlink"/>
            <w:lang w:val="pt-PT"/>
          </w:rPr>
          <w:t>https://www.environment.gov.au/system/files/resources/3584ed44-4afb-4985-b7a5-5f3e3ec9b94d/files/wildlife-trade-permits.pdf</w:t>
        </w:r>
      </w:hyperlink>
      <w:r w:rsidRPr="00727135">
        <w:rPr>
          <w:lang w:val="pt-PT"/>
        </w:rPr>
        <w:t>.</w:t>
      </w:r>
    </w:p>
    <w:p w14:paraId="7B4E7ADC" w14:textId="77777777" w:rsidR="00FB7756" w:rsidRDefault="00FB7756" w:rsidP="00FB7756">
      <w:r w:rsidRPr="00B06660">
        <w:rPr>
          <w:lang w:eastAsia="en-GB"/>
        </w:rPr>
        <w:t>HLP (High-Level Panel). 2020. High-Level Panel of Experts for</w:t>
      </w:r>
      <w:r>
        <w:t xml:space="preserve"> the Review of Policies, Legislation and Practices on Matters of Elephant, Lion, Leopard and Rhinoceros Management, Breeding, Hunting, Trade and Handling. Report to DFFE, Pretoria.</w:t>
      </w:r>
    </w:p>
    <w:p w14:paraId="66425A1C" w14:textId="352126EE" w:rsidR="008522A7" w:rsidRDefault="008522A7" w:rsidP="008522A7">
      <w:pPr>
        <w:pStyle w:val="BodyText"/>
      </w:pPr>
      <w:r>
        <w:t>DEA (Department of Environmental Affairs). 2014. Guidance Document on the Fee Regulations (for Environmental Impact Assessment Processes). DEA, Pretoria.</w:t>
      </w:r>
    </w:p>
    <w:p w14:paraId="6606F9F3" w14:textId="6B30E4FD" w:rsidR="008522A7" w:rsidRDefault="008522A7" w:rsidP="008522A7">
      <w:pPr>
        <w:pStyle w:val="BodyText"/>
      </w:pPr>
      <w:r>
        <w:t>DOA (Department of Agriculture Australia). 2019. Cost recovery implementation statement: biosecurity 2019–20, Canberra, December. CC BY 4.0. Available from https://www.agriculture.gov.au/sites/default/files/documents/biosecurity-cris-2019-20.pdf</w:t>
      </w:r>
    </w:p>
    <w:p w14:paraId="54800404" w14:textId="5A43B8D1" w:rsidR="008522A7" w:rsidRDefault="008522A7" w:rsidP="008522A7">
      <w:pPr>
        <w:pStyle w:val="BodyText"/>
      </w:pPr>
      <w:r>
        <w:t>MPI (Ministry for Primary Industries). 2018. Cost recovery at MPI: Findings from the First Principles Review of MPI’s cost recovery arrangements. MPI Information Paper No: 2018/07. MPI, Wellington. https://www.mpi.govt.nz/dmsdocument/30852/direct</w:t>
      </w:r>
    </w:p>
    <w:p w14:paraId="49890B9E" w14:textId="664BC84E" w:rsidR="008522A7" w:rsidRDefault="008522A7" w:rsidP="008522A7">
      <w:pPr>
        <w:pStyle w:val="BodyText"/>
      </w:pPr>
      <w:r>
        <w:t>MPI (Ministry for Primary Industries). 2018a. Ministry for Primary Industries Cost Recovery Policy Guidance. MPI Information Paper No: 2018/08. MPI, Wellington. https://www.mpi.govt.nz/dmsdocument/30855-Ministry-for-Primary-Industries-Cost-Recovery-Policy-Guidance.</w:t>
      </w:r>
    </w:p>
    <w:p w14:paraId="052B80A9" w14:textId="70F55AD3" w:rsidR="008522A7" w:rsidRDefault="008522A7" w:rsidP="008522A7">
      <w:pPr>
        <w:pStyle w:val="BodyText"/>
      </w:pPr>
      <w:proofErr w:type="spellStart"/>
      <w:r>
        <w:t>Niëns</w:t>
      </w:r>
      <w:proofErr w:type="spellEnd"/>
      <w:r>
        <w:t>, L.M., Van de Poel, E., Cameron, A., Ewen, M. and Laing, R. ‎2012‎. Practical measurement of affordability: an application to medicines. Bulletin of the World Health Organization, 90 (‎3)‎, 219 - 227. World Health Organization. http://dx.doi.org/10.2471/BLT.10.084087.</w:t>
      </w:r>
    </w:p>
    <w:p w14:paraId="4836B9F2" w14:textId="0C4210B3" w:rsidR="008522A7" w:rsidRDefault="008522A7" w:rsidP="008522A7">
      <w:pPr>
        <w:pStyle w:val="BodyText"/>
      </w:pPr>
      <w:r>
        <w:t xml:space="preserve">PDG (Palmer Development Group). 2012. Transparent Tariffs Toolkit – Setting Tariffs: A guide for local government in South Africa, Namibia and Botswana. Published by www.skl.se, www.salga.org.za, www.alan.org.na, www.bala.org.bw. </w:t>
      </w:r>
    </w:p>
    <w:p w14:paraId="64ED1E07" w14:textId="21753522" w:rsidR="008522A7" w:rsidRDefault="008522A7" w:rsidP="008522A7">
      <w:pPr>
        <w:pStyle w:val="BodyText"/>
      </w:pPr>
      <w:r>
        <w:t>SANParks. 2011. Conservation Fee Policy Document: Revised Fee Structure Announced on 2 April 2003. SANParks, Pretoria.</w:t>
      </w:r>
    </w:p>
    <w:p w14:paraId="31507E3D" w14:textId="7FCC8623" w:rsidR="008522A7" w:rsidRDefault="008522A7" w:rsidP="008522A7">
      <w:pPr>
        <w:pStyle w:val="BodyText"/>
      </w:pPr>
      <w:r>
        <w:t>SANParks. 2014. Tourism Pricing Protocol: March 2014. SANParks, Pretoria.</w:t>
      </w:r>
    </w:p>
    <w:p w14:paraId="586DB9EB" w14:textId="1AEBA130" w:rsidR="008522A7" w:rsidRDefault="008522A7" w:rsidP="008522A7">
      <w:pPr>
        <w:pStyle w:val="BodyText"/>
      </w:pPr>
      <w:r>
        <w:t xml:space="preserve">Storer, D and </w:t>
      </w:r>
      <w:proofErr w:type="spellStart"/>
      <w:r>
        <w:t>Teljeur</w:t>
      </w:r>
      <w:proofErr w:type="spellEnd"/>
      <w:r>
        <w:t>, E. 2004. Administered Prices: Executive Report. Report prepared for National Treasury, South Africa.</w:t>
      </w:r>
    </w:p>
    <w:p w14:paraId="170B3D6D" w14:textId="7021F30B" w:rsidR="008522A7" w:rsidRDefault="008522A7" w:rsidP="008522A7">
      <w:pPr>
        <w:pStyle w:val="BodyText"/>
      </w:pPr>
      <w:r>
        <w:lastRenderedPageBreak/>
        <w:t xml:space="preserve">Van Zyl, H.W., Kinghorn, J.W. and Emerton, L. 2019. National Park Entrance Fees: A Global Benchmarking Focused on Affordability. International Journal of Protected Areas and Conservation (PARKS), Vol. 25.1, May 2019. </w:t>
      </w:r>
    </w:p>
    <w:p w14:paraId="4F18045E" w14:textId="215231BB" w:rsidR="007F7BC3" w:rsidRPr="007F7BC3" w:rsidRDefault="008522A7" w:rsidP="003F2D50">
      <w:pPr>
        <w:pStyle w:val="BodyText"/>
      </w:pPr>
      <w:r>
        <w:t>VGDSE (Victorian Government Department of Sustainability and Environment). 2013. Regulatory Impact Statement: Wildlife Regulations 2013. Victoria Government, Melbourne. https://www.vgls.vic.gov.au/client/en_AU/search/asset/1264223/0</w:t>
      </w:r>
    </w:p>
    <w:p w14:paraId="77AB5748" w14:textId="77777777" w:rsidR="00795AF8" w:rsidRDefault="00795AF8">
      <w:pPr>
        <w:autoSpaceDE/>
        <w:autoSpaceDN/>
        <w:adjustRightInd/>
        <w:spacing w:after="0" w:line="240" w:lineRule="auto"/>
        <w:rPr>
          <w:rFonts w:ascii="Arial" w:hAnsi="Arial" w:cs="Arial"/>
          <w:bCs/>
          <w:color w:val="143C71"/>
          <w:kern w:val="32"/>
          <w:sz w:val="40"/>
          <w:szCs w:val="40"/>
        </w:rPr>
      </w:pPr>
      <w:bookmarkStart w:id="53" w:name="_Toc340564871"/>
      <w:r>
        <w:br w:type="page"/>
      </w:r>
    </w:p>
    <w:p w14:paraId="2FDB3DF6" w14:textId="77777777" w:rsidR="00543006" w:rsidRDefault="00795AF8" w:rsidP="00795AF8">
      <w:pPr>
        <w:pStyle w:val="Heading1"/>
      </w:pPr>
      <w:bookmarkStart w:id="54" w:name="_Toc100834556"/>
      <w:r>
        <w:lastRenderedPageBreak/>
        <w:t>Appendices</w:t>
      </w:r>
      <w:bookmarkEnd w:id="53"/>
      <w:bookmarkEnd w:id="54"/>
    </w:p>
    <w:p w14:paraId="3022C2A4" w14:textId="1B7E904A" w:rsidR="00627C2F" w:rsidRPr="00397879" w:rsidRDefault="00627C2F" w:rsidP="00397879">
      <w:pPr>
        <w:pStyle w:val="Caption"/>
        <w:rPr>
          <w:rFonts w:ascii="Calibri" w:hAnsi="Calibri" w:cs="Times New Roman"/>
          <w:bCs w:val="0"/>
          <w:color w:val="0070C0"/>
          <w:sz w:val="18"/>
          <w:lang w:val="en-ZA" w:bidi="ar-SA"/>
        </w:rPr>
      </w:pPr>
      <w:r w:rsidRPr="001D1006">
        <w:rPr>
          <w:color w:val="0070C0"/>
          <w:sz w:val="20"/>
          <w:szCs w:val="16"/>
        </w:rPr>
        <w:t xml:space="preserve">Appendix </w:t>
      </w:r>
      <w:r w:rsidRPr="001D1006">
        <w:rPr>
          <w:color w:val="0070C0"/>
          <w:sz w:val="20"/>
          <w:szCs w:val="16"/>
        </w:rPr>
        <w:fldChar w:fldCharType="begin"/>
      </w:r>
      <w:r w:rsidRPr="001D1006">
        <w:rPr>
          <w:color w:val="0070C0"/>
          <w:sz w:val="20"/>
          <w:szCs w:val="16"/>
        </w:rPr>
        <w:instrText xml:space="preserve"> SEQ Appendix \* ARABIC </w:instrText>
      </w:r>
      <w:r w:rsidRPr="001D1006">
        <w:rPr>
          <w:color w:val="0070C0"/>
          <w:sz w:val="20"/>
          <w:szCs w:val="16"/>
        </w:rPr>
        <w:fldChar w:fldCharType="separate"/>
      </w:r>
      <w:r w:rsidR="00F76292">
        <w:rPr>
          <w:noProof/>
          <w:color w:val="0070C0"/>
          <w:sz w:val="20"/>
          <w:szCs w:val="16"/>
        </w:rPr>
        <w:t>1</w:t>
      </w:r>
      <w:r w:rsidRPr="001D1006">
        <w:rPr>
          <w:color w:val="0070C0"/>
          <w:sz w:val="20"/>
          <w:szCs w:val="16"/>
        </w:rPr>
        <w:fldChar w:fldCharType="end"/>
      </w:r>
      <w:r w:rsidRPr="001D1006">
        <w:rPr>
          <w:color w:val="0070C0"/>
          <w:sz w:val="20"/>
          <w:szCs w:val="16"/>
        </w:rPr>
        <w:t xml:space="preserve">: </w:t>
      </w:r>
      <w:r w:rsidR="004F713D">
        <w:rPr>
          <w:color w:val="0070C0"/>
          <w:sz w:val="20"/>
          <w:szCs w:val="16"/>
        </w:rPr>
        <w:t xml:space="preserve">Revenue generated from </w:t>
      </w:r>
      <w:proofErr w:type="spellStart"/>
      <w:r w:rsidR="004F713D">
        <w:rPr>
          <w:color w:val="0070C0"/>
          <w:sz w:val="20"/>
          <w:szCs w:val="16"/>
        </w:rPr>
        <w:t>permtis</w:t>
      </w:r>
      <w:proofErr w:type="spellEnd"/>
      <w:r w:rsidR="004F713D">
        <w:rPr>
          <w:color w:val="0070C0"/>
          <w:sz w:val="20"/>
          <w:szCs w:val="16"/>
        </w:rPr>
        <w:t xml:space="preserve"> and </w:t>
      </w:r>
      <w:proofErr w:type="spellStart"/>
      <w:r w:rsidR="004F713D">
        <w:rPr>
          <w:color w:val="0070C0"/>
          <w:sz w:val="20"/>
          <w:szCs w:val="16"/>
        </w:rPr>
        <w:t>licences</w:t>
      </w:r>
      <w:proofErr w:type="spellEnd"/>
      <w:r w:rsidR="004F713D">
        <w:rPr>
          <w:color w:val="0070C0"/>
          <w:sz w:val="20"/>
          <w:szCs w:val="16"/>
        </w:rPr>
        <w:t xml:space="preserve"> as a proportion of budget allocation to the permit and </w:t>
      </w:r>
      <w:proofErr w:type="spellStart"/>
      <w:r w:rsidR="004F713D">
        <w:rPr>
          <w:color w:val="0070C0"/>
          <w:sz w:val="20"/>
          <w:szCs w:val="16"/>
        </w:rPr>
        <w:t>licencing</w:t>
      </w:r>
      <w:proofErr w:type="spellEnd"/>
      <w:r w:rsidR="004F713D">
        <w:rPr>
          <w:color w:val="0070C0"/>
          <w:sz w:val="20"/>
          <w:szCs w:val="16"/>
        </w:rPr>
        <w:t xml:space="preserve"> function in each department and province</w:t>
      </w:r>
    </w:p>
    <w:p w14:paraId="117C36A2" w14:textId="2A045983" w:rsidR="00BB1BFA" w:rsidRDefault="00397879" w:rsidP="00BB1BFA">
      <w:pPr>
        <w:autoSpaceDE/>
        <w:autoSpaceDN/>
        <w:adjustRightInd/>
        <w:spacing w:after="0" w:line="240" w:lineRule="auto"/>
        <w:jc w:val="both"/>
        <w:rPr>
          <w:rFonts w:ascii="Calibri" w:hAnsi="Calibri" w:cs="Times New Roman"/>
          <w:szCs w:val="20"/>
          <w:lang w:val="en-ZA" w:bidi="ar-SA"/>
        </w:rPr>
      </w:pPr>
      <w:r w:rsidRPr="00397879">
        <w:rPr>
          <w:noProof/>
        </w:rPr>
        <w:drawing>
          <wp:inline distT="0" distB="0" distL="0" distR="0" wp14:anchorId="3065C1F8" wp14:editId="368E3747">
            <wp:extent cx="5727700" cy="28467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2846705"/>
                    </a:xfrm>
                    <a:prstGeom prst="rect">
                      <a:avLst/>
                    </a:prstGeom>
                    <a:noFill/>
                    <a:ln>
                      <a:noFill/>
                    </a:ln>
                  </pic:spPr>
                </pic:pic>
              </a:graphicData>
            </a:graphic>
          </wp:inline>
        </w:drawing>
      </w:r>
    </w:p>
    <w:p w14:paraId="4DC53695" w14:textId="77777777" w:rsidR="00FE17D0" w:rsidRDefault="00FE17D0" w:rsidP="00FE17D0">
      <w:pPr>
        <w:pStyle w:val="BodyText"/>
      </w:pPr>
    </w:p>
    <w:p w14:paraId="673234E9" w14:textId="6D5FEEB5" w:rsidR="00F76292" w:rsidRPr="001D1006" w:rsidRDefault="00F76292" w:rsidP="00F76292">
      <w:pPr>
        <w:pStyle w:val="Caption"/>
        <w:rPr>
          <w:rFonts w:ascii="Calibri" w:hAnsi="Calibri" w:cs="Times New Roman"/>
          <w:bCs w:val="0"/>
          <w:color w:val="0070C0"/>
          <w:sz w:val="18"/>
          <w:lang w:val="en-ZA" w:bidi="ar-SA"/>
        </w:rPr>
      </w:pPr>
      <w:r w:rsidRPr="001D1006">
        <w:rPr>
          <w:color w:val="0070C0"/>
          <w:sz w:val="20"/>
          <w:szCs w:val="16"/>
        </w:rPr>
        <w:lastRenderedPageBreak/>
        <w:t xml:space="preserve">Appendix </w:t>
      </w:r>
      <w:r w:rsidRPr="001D1006">
        <w:rPr>
          <w:color w:val="0070C0"/>
          <w:sz w:val="20"/>
          <w:szCs w:val="16"/>
        </w:rPr>
        <w:fldChar w:fldCharType="begin"/>
      </w:r>
      <w:r w:rsidRPr="001D1006">
        <w:rPr>
          <w:color w:val="0070C0"/>
          <w:sz w:val="20"/>
          <w:szCs w:val="16"/>
        </w:rPr>
        <w:instrText xml:space="preserve"> SEQ Appendix \* ARABIC </w:instrText>
      </w:r>
      <w:r w:rsidRPr="001D1006">
        <w:rPr>
          <w:color w:val="0070C0"/>
          <w:sz w:val="20"/>
          <w:szCs w:val="16"/>
        </w:rPr>
        <w:fldChar w:fldCharType="separate"/>
      </w:r>
      <w:r>
        <w:rPr>
          <w:noProof/>
          <w:color w:val="0070C0"/>
          <w:sz w:val="20"/>
          <w:szCs w:val="16"/>
        </w:rPr>
        <w:t>2</w:t>
      </w:r>
      <w:r w:rsidRPr="001D1006">
        <w:rPr>
          <w:color w:val="0070C0"/>
          <w:sz w:val="20"/>
          <w:szCs w:val="16"/>
        </w:rPr>
        <w:fldChar w:fldCharType="end"/>
      </w:r>
      <w:r w:rsidRPr="001D1006">
        <w:rPr>
          <w:color w:val="0070C0"/>
          <w:sz w:val="20"/>
          <w:szCs w:val="16"/>
        </w:rPr>
        <w:t xml:space="preserve">: Summary of processing costs for similar permits issued </w:t>
      </w:r>
      <w:r>
        <w:rPr>
          <w:color w:val="0070C0"/>
          <w:sz w:val="20"/>
          <w:szCs w:val="16"/>
        </w:rPr>
        <w:t xml:space="preserve">per </w:t>
      </w:r>
      <w:r w:rsidRPr="001D1006">
        <w:rPr>
          <w:color w:val="0070C0"/>
          <w:sz w:val="20"/>
          <w:szCs w:val="16"/>
        </w:rPr>
        <w:t>provinc</w:t>
      </w:r>
      <w:r>
        <w:rPr>
          <w:color w:val="0070C0"/>
          <w:sz w:val="20"/>
          <w:szCs w:val="16"/>
        </w:rPr>
        <w:t>e</w:t>
      </w:r>
    </w:p>
    <w:p w14:paraId="0C24BC6C" w14:textId="77777777" w:rsidR="00F76292" w:rsidRPr="00FA4A97" w:rsidRDefault="00F76292" w:rsidP="00F76292">
      <w:pPr>
        <w:autoSpaceDE/>
        <w:autoSpaceDN/>
        <w:adjustRightInd/>
        <w:spacing w:after="0" w:line="240" w:lineRule="auto"/>
        <w:ind w:left="-284" w:right="-447"/>
        <w:jc w:val="both"/>
        <w:rPr>
          <w:rFonts w:ascii="Calibri" w:hAnsi="Calibri" w:cs="Times New Roman"/>
          <w:szCs w:val="20"/>
          <w:lang w:val="en-ZA" w:eastAsia="en-GB" w:bidi="ar-SA"/>
        </w:rPr>
      </w:pPr>
      <w:r w:rsidRPr="00FA4A97">
        <w:rPr>
          <w:rFonts w:ascii="Calibri" w:hAnsi="Calibri" w:cs="Times New Roman"/>
          <w:noProof/>
          <w:szCs w:val="20"/>
          <w:lang w:val="en-ZA" w:bidi="ar-SA"/>
        </w:rPr>
        <w:drawing>
          <wp:inline distT="0" distB="0" distL="0" distR="0" wp14:anchorId="785D2351" wp14:editId="2820E173">
            <wp:extent cx="6308906" cy="537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406" cy="5376783"/>
                    </a:xfrm>
                    <a:prstGeom prst="rect">
                      <a:avLst/>
                    </a:prstGeom>
                    <a:noFill/>
                    <a:ln>
                      <a:noFill/>
                    </a:ln>
                  </pic:spPr>
                </pic:pic>
              </a:graphicData>
            </a:graphic>
          </wp:inline>
        </w:drawing>
      </w:r>
    </w:p>
    <w:p w14:paraId="02A0A04C" w14:textId="77777777" w:rsidR="00F76292" w:rsidRDefault="00F76292" w:rsidP="00FE17D0">
      <w:pPr>
        <w:pStyle w:val="BodyText"/>
      </w:pPr>
    </w:p>
    <w:p w14:paraId="242E65D1" w14:textId="77777777" w:rsidR="00FE17D0" w:rsidRDefault="00FE17D0" w:rsidP="00FE17D0">
      <w:pPr>
        <w:pStyle w:val="BodyText"/>
      </w:pPr>
    </w:p>
    <w:sectPr w:rsidR="00FE17D0" w:rsidSect="00A008DE">
      <w:headerReference w:type="default" r:id="rId47"/>
      <w:pgSz w:w="11900" w:h="16840" w:code="9"/>
      <w:pgMar w:top="1440" w:right="1440" w:bottom="1440" w:left="144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A619" w14:textId="77777777" w:rsidR="00004603" w:rsidRDefault="00004603" w:rsidP="00531CC4">
      <w:r>
        <w:separator/>
      </w:r>
    </w:p>
    <w:p w14:paraId="709FCA25" w14:textId="77777777" w:rsidR="00004603" w:rsidRDefault="00004603" w:rsidP="00531CC4"/>
    <w:p w14:paraId="3D1AEF11" w14:textId="77777777" w:rsidR="00004603" w:rsidRDefault="00004603" w:rsidP="00531CC4"/>
  </w:endnote>
  <w:endnote w:type="continuationSeparator" w:id="0">
    <w:p w14:paraId="67C69016" w14:textId="77777777" w:rsidR="00004603" w:rsidRDefault="00004603" w:rsidP="00531CC4">
      <w:r>
        <w:continuationSeparator/>
      </w:r>
    </w:p>
    <w:p w14:paraId="47928F75" w14:textId="77777777" w:rsidR="00004603" w:rsidRDefault="00004603" w:rsidP="00531CC4"/>
    <w:p w14:paraId="5C9651D2" w14:textId="77777777" w:rsidR="00004603" w:rsidRDefault="00004603" w:rsidP="00531CC4"/>
  </w:endnote>
  <w:endnote w:type="continuationNotice" w:id="1">
    <w:p w14:paraId="2A9A161C" w14:textId="77777777" w:rsidR="00004603" w:rsidRDefault="000046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89018" w14:textId="77777777" w:rsidR="00004603" w:rsidRDefault="00004603" w:rsidP="00531CC4">
      <w:r>
        <w:separator/>
      </w:r>
    </w:p>
    <w:p w14:paraId="366CB2F9" w14:textId="77777777" w:rsidR="00004603" w:rsidRDefault="00004603" w:rsidP="00531CC4"/>
    <w:p w14:paraId="031AD486" w14:textId="77777777" w:rsidR="00004603" w:rsidRDefault="00004603" w:rsidP="00531CC4"/>
  </w:footnote>
  <w:footnote w:type="continuationSeparator" w:id="0">
    <w:p w14:paraId="40289638" w14:textId="77777777" w:rsidR="00004603" w:rsidRDefault="00004603" w:rsidP="00531CC4">
      <w:r>
        <w:continuationSeparator/>
      </w:r>
    </w:p>
    <w:p w14:paraId="7017C8B1" w14:textId="77777777" w:rsidR="00004603" w:rsidRDefault="00004603" w:rsidP="00531CC4"/>
    <w:p w14:paraId="5B7B3326" w14:textId="77777777" w:rsidR="00004603" w:rsidRDefault="00004603" w:rsidP="00531CC4"/>
  </w:footnote>
  <w:footnote w:type="continuationNotice" w:id="1">
    <w:p w14:paraId="0730D241" w14:textId="77777777" w:rsidR="00004603" w:rsidRDefault="00004603">
      <w:pPr>
        <w:spacing w:after="0" w:line="240" w:lineRule="auto"/>
      </w:pPr>
    </w:p>
  </w:footnote>
  <w:footnote w:id="2">
    <w:p w14:paraId="260BB1F8" w14:textId="2D2D2E23" w:rsidR="00B339A3" w:rsidRPr="005645A0" w:rsidRDefault="00B339A3">
      <w:pPr>
        <w:pStyle w:val="FootnoteText"/>
        <w:rPr>
          <w:sz w:val="18"/>
          <w:szCs w:val="18"/>
        </w:rPr>
      </w:pPr>
      <w:r>
        <w:rPr>
          <w:rStyle w:val="FootnoteReference"/>
        </w:rPr>
        <w:footnoteRef/>
      </w:r>
      <w:r>
        <w:t xml:space="preserve"> </w:t>
      </w:r>
      <w:r w:rsidRPr="005645A0">
        <w:rPr>
          <w:sz w:val="18"/>
          <w:szCs w:val="18"/>
        </w:rPr>
        <w:t xml:space="preserve">Blank cells indicate </w:t>
      </w:r>
      <w:r w:rsidR="005645A0" w:rsidRPr="005645A0">
        <w:rPr>
          <w:sz w:val="18"/>
          <w:szCs w:val="18"/>
        </w:rPr>
        <w:t>instances where data was not available.</w:t>
      </w:r>
    </w:p>
  </w:footnote>
  <w:footnote w:id="3">
    <w:p w14:paraId="68E7EFF4" w14:textId="2F1A48BA" w:rsidR="00444081" w:rsidRPr="00444081" w:rsidRDefault="00444081">
      <w:pPr>
        <w:pStyle w:val="FootnoteText"/>
      </w:pPr>
      <w:r>
        <w:rPr>
          <w:rStyle w:val="FootnoteReference"/>
        </w:rPr>
        <w:footnoteRef/>
      </w:r>
      <w:r>
        <w:t xml:space="preserve"> </w:t>
      </w:r>
      <w:r w:rsidR="00CD6A55">
        <w:rPr>
          <w:rFonts w:ascii="Calibri" w:hAnsi="Calibri" w:cs="Times New Roman"/>
          <w:lang w:val="en-ZA" w:bidi="ar-SA"/>
        </w:rPr>
        <w:t>Based on</w:t>
      </w:r>
      <w:r w:rsidRPr="00D537F5">
        <w:rPr>
          <w:rFonts w:ascii="Calibri" w:hAnsi="Calibri" w:cs="Times New Roman"/>
          <w:lang w:val="en-ZA" w:bidi="ar-SA"/>
        </w:rPr>
        <w:t xml:space="preserve"> partial data</w:t>
      </w:r>
      <w:r w:rsidR="00CD6A55">
        <w:rPr>
          <w:rFonts w:ascii="Calibri" w:hAnsi="Calibri" w:cs="Times New Roman"/>
          <w:lang w:val="en-ZA" w:bidi="ar-SA"/>
        </w:rPr>
        <w:t xml:space="preserve"> received</w:t>
      </w:r>
      <w:r w:rsidRPr="00D537F5">
        <w:rPr>
          <w:rFonts w:ascii="Calibri" w:hAnsi="Calibri" w:cs="Times New Roman"/>
          <w:lang w:val="en-ZA" w:bidi="ar-SA"/>
        </w:rPr>
        <w:t xml:space="preserve"> </w:t>
      </w:r>
      <w:r w:rsidR="000028A0">
        <w:rPr>
          <w:rFonts w:ascii="Calibri" w:hAnsi="Calibri" w:cs="Times New Roman"/>
          <w:lang w:val="en-ZA" w:bidi="ar-SA"/>
        </w:rPr>
        <w:t xml:space="preserve">from issuing authorities </w:t>
      </w:r>
      <w:r w:rsidRPr="00D537F5">
        <w:rPr>
          <w:rFonts w:ascii="Calibri" w:hAnsi="Calibri" w:cs="Times New Roman"/>
          <w:lang w:val="en-ZA" w:bidi="ar-SA"/>
        </w:rPr>
        <w:t xml:space="preserve">with low levels of consistency between provinces. The data will have to </w:t>
      </w:r>
      <w:r w:rsidR="002E1C9D">
        <w:rPr>
          <w:rFonts w:ascii="Calibri" w:hAnsi="Calibri" w:cs="Times New Roman"/>
          <w:lang w:val="en-ZA" w:bidi="ar-SA"/>
        </w:rPr>
        <w:t xml:space="preserve">be </w:t>
      </w:r>
      <w:r w:rsidRPr="00D537F5">
        <w:rPr>
          <w:rFonts w:ascii="Calibri" w:hAnsi="Calibri" w:cs="Times New Roman"/>
          <w:lang w:val="en-ZA" w:bidi="ar-SA"/>
        </w:rPr>
        <w:t>revisited and revised as needed.</w:t>
      </w:r>
      <w:r w:rsidR="00334206">
        <w:rPr>
          <w:rFonts w:ascii="Calibri" w:hAnsi="Calibri" w:cs="Times New Roman"/>
          <w:lang w:val="en-ZA" w:bidi="ar-SA"/>
        </w:rPr>
        <w:t xml:space="preserve"> A</w:t>
      </w:r>
      <w:r w:rsidR="00334206" w:rsidRPr="00334206">
        <w:rPr>
          <w:rFonts w:ascii="Calibri" w:hAnsi="Calibri" w:cs="Times New Roman"/>
          <w:lang w:val="en-ZA" w:bidi="ar-SA"/>
        </w:rPr>
        <w:t xml:space="preserve"> more detailed table with amounts for individual deparments and provinces </w:t>
      </w:r>
      <w:r w:rsidR="00674F46">
        <w:rPr>
          <w:rFonts w:ascii="Calibri" w:hAnsi="Calibri" w:cs="Times New Roman"/>
          <w:lang w:val="en-ZA" w:bidi="ar-SA"/>
        </w:rPr>
        <w:t xml:space="preserve">is </w:t>
      </w:r>
      <w:r w:rsidR="00334206" w:rsidRPr="00334206">
        <w:rPr>
          <w:rFonts w:ascii="Calibri" w:hAnsi="Calibri" w:cs="Times New Roman"/>
          <w:lang w:val="en-ZA" w:bidi="ar-SA"/>
        </w:rPr>
        <w:t xml:space="preserve">provided in Appendix </w:t>
      </w:r>
      <w:r w:rsidR="00F76292">
        <w:rPr>
          <w:rFonts w:ascii="Calibri" w:hAnsi="Calibri" w:cs="Times New Roman"/>
          <w:lang w:val="en-ZA" w:bidi="ar-SA"/>
        </w:rPr>
        <w:t>1</w:t>
      </w:r>
      <w:r w:rsidR="00334206" w:rsidRPr="00334206">
        <w:rPr>
          <w:rFonts w:ascii="Calibri" w:hAnsi="Calibri" w:cs="Times New Roman"/>
          <w:lang w:val="en-ZA"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CB13" w14:textId="0579B8AD" w:rsidR="00B63B2D" w:rsidRPr="00E03289" w:rsidRDefault="00B63B2D" w:rsidP="00531CC4">
    <w:pPr>
      <w:pStyle w:val="Header"/>
      <w:ind w:right="-575"/>
      <w:jc w:val="right"/>
      <w:rPr>
        <w:color w:val="143C71"/>
      </w:rPr>
    </w:pPr>
    <w:r w:rsidRPr="00E03289">
      <w:rPr>
        <w:noProof/>
        <w:color w:val="143C71"/>
      </w:rPr>
      <mc:AlternateContent>
        <mc:Choice Requires="wps">
          <w:drawing>
            <wp:anchor distT="0" distB="0" distL="114300" distR="114300" simplePos="0" relativeHeight="251658244" behindDoc="0" locked="0" layoutInCell="1" allowOverlap="1" wp14:anchorId="3AF6D4B8" wp14:editId="4B5F0F36">
              <wp:simplePos x="0" y="0"/>
              <wp:positionH relativeFrom="column">
                <wp:posOffset>-884389</wp:posOffset>
              </wp:positionH>
              <wp:positionV relativeFrom="paragraph">
                <wp:posOffset>107282</wp:posOffset>
              </wp:positionV>
              <wp:extent cx="6406147" cy="32084"/>
              <wp:effectExtent l="0" t="0" r="7620" b="19050"/>
              <wp:wrapNone/>
              <wp:docPr id="44" name="Straight Connector 44"/>
              <wp:cNvGraphicFramePr/>
              <a:graphic xmlns:a="http://schemas.openxmlformats.org/drawingml/2006/main">
                <a:graphicData uri="http://schemas.microsoft.com/office/word/2010/wordprocessingShape">
                  <wps:wsp>
                    <wps:cNvCnPr/>
                    <wps:spPr>
                      <a:xfrm flipH="1">
                        <a:off x="0" y="0"/>
                        <a:ext cx="6406147" cy="32084"/>
                      </a:xfrm>
                      <a:prstGeom prst="line">
                        <a:avLst/>
                      </a:prstGeom>
                      <a:ln w="12700">
                        <a:solidFill>
                          <a:srgbClr val="143C7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ADF5F" id="Straight Connector 44"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8.45pt" to="43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" strokecolor="#143c71" strokeweight="1pt"/>
          </w:pict>
        </mc:Fallback>
      </mc:AlternateContent>
    </w:r>
    <w:r w:rsidRPr="00E03289">
      <w:rPr>
        <w:noProof/>
        <w:color w:val="143C71"/>
      </w:rPr>
      <mc:AlternateContent>
        <mc:Choice Requires="wpg">
          <w:drawing>
            <wp:anchor distT="0" distB="0" distL="114300" distR="114300" simplePos="0" relativeHeight="251658243" behindDoc="1" locked="0" layoutInCell="1" allowOverlap="1" wp14:anchorId="27B69A36" wp14:editId="18D761B0">
              <wp:simplePos x="0" y="0"/>
              <wp:positionH relativeFrom="page">
                <wp:posOffset>7192645</wp:posOffset>
              </wp:positionH>
              <wp:positionV relativeFrom="page">
                <wp:posOffset>-95885</wp:posOffset>
              </wp:positionV>
              <wp:extent cx="578799" cy="1280160"/>
              <wp:effectExtent l="0" t="0" r="0" b="0"/>
              <wp:wrapNone/>
              <wp:docPr id="45" name="Group 45"/>
              <wp:cNvGraphicFramePr/>
              <a:graphic xmlns:a="http://schemas.openxmlformats.org/drawingml/2006/main">
                <a:graphicData uri="http://schemas.microsoft.com/office/word/2010/wordprocessingGroup">
                  <wpg:wgp>
                    <wpg:cNvGrpSpPr/>
                    <wpg:grpSpPr>
                      <a:xfrm>
                        <a:off x="0" y="0"/>
                        <a:ext cx="578799" cy="1280160"/>
                        <a:chOff x="125086" y="-439419"/>
                        <a:chExt cx="577859" cy="1280160"/>
                      </a:xfrm>
                    </wpg:grpSpPr>
                    <wps:wsp>
                      <wps:cNvPr id="46" name="Freeform 5"/>
                      <wps:cNvSpPr>
                        <a:spLocks/>
                      </wps:cNvSpPr>
                      <wps:spPr bwMode="auto">
                        <a:xfrm>
                          <a:off x="125086" y="-218"/>
                          <a:ext cx="300058" cy="593533"/>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143C7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D7AFC3" w14:textId="77777777" w:rsidR="00B63B2D" w:rsidRPr="00531CC4" w:rsidRDefault="00B63B2D" w:rsidP="00531CC4">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wps:txbx>
                      <wps:bodyPr vert="horz" wrap="square" lIns="0" tIns="0" rIns="0" bIns="0" numCol="1" anchor="ctr" anchorCtr="0" compatLnSpc="1">
                        <a:prstTxWarp prst="textNoShape">
                          <a:avLst/>
                        </a:prstTxWarp>
                      </wps:bodyPr>
                    </wps:wsp>
                    <wps:wsp>
                      <wps:cNvPr id="47" name="Rectangle 47"/>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69A36" id="Group 45" o:spid="_x0000_s1030" style="position:absolute;left:0;text-align:left;margin-left:566.35pt;margin-top:-7.55pt;width:45.55pt;height:100.8pt;z-index:-251658237;mso-position-horizontal-relative:page;mso-position-vertical-relative:page;mso-width-relative:margin;mso-height-relative:margin" coordorigin="1250,-4394" coordsize="5778,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">
              <v:shape id="Freeform 5" o:spid="_x0000_s1031" style="position:absolute;left:1250;top:-2;width:3001;height:5935;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" adj="-11796480,,5400" path="m,129v,71,57,128,128,128c128,,128,,128,,57,,,58,,129xe" fillcolor="#143c71" stroked="f">
                <v:stroke joinstyle="round"/>
                <v:formulas/>
                <v:path arrowok="t" o:connecttype="custom" o:connectlocs="0,297921;300058,593533;300058,0;0,297921" o:connectangles="0,0,0,0" textboxrect="0,0,128,257"/>
                <v:textbox inset="0,0,0,0">
                  <w:txbxContent>
                    <w:p w14:paraId="27D7AFC3" w14:textId="77777777" w:rsidR="00B63B2D" w:rsidRPr="00531CC4" w:rsidRDefault="00B63B2D" w:rsidP="00531CC4">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v:textbox>
              </v:shape>
              <v:rect id="Rectangle 47" o:spid="_x0000_s1032"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w10:wrap anchorx="page" anchory="page"/>
            </v:group>
          </w:pict>
        </mc:Fallback>
      </mc:AlternateContent>
    </w:r>
    <w:r w:rsidR="00E03289" w:rsidRPr="00E03289">
      <w:rPr>
        <w:color w:val="143C71"/>
      </w:rPr>
      <w:t>BIOFIN</w:t>
    </w:r>
  </w:p>
  <w:p w14:paraId="1AA64E74" w14:textId="77777777" w:rsidR="00B63B2D" w:rsidRPr="00434B50" w:rsidRDefault="00B63B2D" w:rsidP="00531C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482C" w14:textId="767F99C1" w:rsidR="00456A2A" w:rsidRDefault="00242C85" w:rsidP="00F80BE4">
    <w:pPr>
      <w:pStyle w:val="Header"/>
      <w:ind w:right="-575"/>
      <w:jc w:val="right"/>
      <w:rPr>
        <w:color w:val="143C71"/>
      </w:rPr>
    </w:pPr>
    <w:r w:rsidRPr="00E03289">
      <w:rPr>
        <w:noProof/>
        <w:color w:val="143C71"/>
      </w:rPr>
      <mc:AlternateContent>
        <mc:Choice Requires="wpg">
          <w:drawing>
            <wp:anchor distT="0" distB="0" distL="114300" distR="114300" simplePos="0" relativeHeight="251660292" behindDoc="1" locked="0" layoutInCell="1" allowOverlap="1" wp14:anchorId="21507C79" wp14:editId="29233376">
              <wp:simplePos x="0" y="0"/>
              <wp:positionH relativeFrom="page">
                <wp:posOffset>7192645</wp:posOffset>
              </wp:positionH>
              <wp:positionV relativeFrom="page">
                <wp:posOffset>-248285</wp:posOffset>
              </wp:positionV>
              <wp:extent cx="578799" cy="1280160"/>
              <wp:effectExtent l="0" t="0" r="0" b="0"/>
              <wp:wrapNone/>
              <wp:docPr id="20" name="Group 20"/>
              <wp:cNvGraphicFramePr/>
              <a:graphic xmlns:a="http://schemas.openxmlformats.org/drawingml/2006/main">
                <a:graphicData uri="http://schemas.microsoft.com/office/word/2010/wordprocessingGroup">
                  <wpg:wgp>
                    <wpg:cNvGrpSpPr/>
                    <wpg:grpSpPr>
                      <a:xfrm>
                        <a:off x="0" y="0"/>
                        <a:ext cx="578799" cy="1280160"/>
                        <a:chOff x="125086" y="-439419"/>
                        <a:chExt cx="577859" cy="1280160"/>
                      </a:xfrm>
                    </wpg:grpSpPr>
                    <wps:wsp>
                      <wps:cNvPr id="21" name="Freeform 5"/>
                      <wps:cNvSpPr>
                        <a:spLocks/>
                      </wps:cNvSpPr>
                      <wps:spPr bwMode="auto">
                        <a:xfrm>
                          <a:off x="125086" y="-218"/>
                          <a:ext cx="300058" cy="593533"/>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143C7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6428A" w14:textId="77777777" w:rsidR="00242C85" w:rsidRPr="00531CC4" w:rsidRDefault="00242C85" w:rsidP="00242C85">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wps:txbx>
                      <wps:bodyPr vert="horz" wrap="square" lIns="0" tIns="0" rIns="0" bIns="0" numCol="1" anchor="ctr" anchorCtr="0" compatLnSpc="1">
                        <a:prstTxWarp prst="textNoShape">
                          <a:avLst/>
                        </a:prstTxWarp>
                      </wps:bodyPr>
                    </wps:wsp>
                    <wps:wsp>
                      <wps:cNvPr id="25" name="Rectangle 25"/>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07C79" id="Group 20" o:spid="_x0000_s1033" style="position:absolute;left:0;text-align:left;margin-left:566.35pt;margin-top:-19.55pt;width:45.55pt;height:100.8pt;z-index:-251656188;mso-position-horizontal-relative:page;mso-position-vertical-relative:page;mso-width-relative:margin;mso-height-relative:margin" coordorigin="1250,-4394" coordsize="5778,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">
              <v:shape id="Freeform 5" o:spid="_x0000_s1034" style="position:absolute;left:1250;top:-2;width:3001;height:5935;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" adj="-11796480,,5400" path="m,129v,71,57,128,128,128c128,,128,,128,,57,,,58,,129xe" fillcolor="#143c71" stroked="f">
                <v:stroke joinstyle="round"/>
                <v:formulas/>
                <v:path arrowok="t" o:connecttype="custom" o:connectlocs="0,297921;300058,593533;300058,0;0,297921" o:connectangles="0,0,0,0" textboxrect="0,0,128,257"/>
                <v:textbox inset="0,0,0,0">
                  <w:txbxContent>
                    <w:p w14:paraId="0F86428A" w14:textId="77777777" w:rsidR="00242C85" w:rsidRPr="00531CC4" w:rsidRDefault="00242C85" w:rsidP="00242C85">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v:textbox>
              </v:shape>
              <v:rect id="Rectangle 25" o:spid="_x0000_s1035"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" filled="f" stroked="f" strokeweight="2pt"/>
              <w10:wrap anchorx="page" anchory="page"/>
            </v:group>
          </w:pict>
        </mc:Fallback>
      </mc:AlternateContent>
    </w:r>
  </w:p>
  <w:p w14:paraId="0DCA8213" w14:textId="30EC27AE" w:rsidR="00456A2A" w:rsidRDefault="00456A2A" w:rsidP="00F80BE4">
    <w:pPr>
      <w:pStyle w:val="Header"/>
      <w:ind w:left="3600" w:right="-575" w:firstLine="4320"/>
      <w:jc w:val="center"/>
      <w:rPr>
        <w:color w:val="143C71"/>
      </w:rPr>
    </w:pPr>
  </w:p>
  <w:p w14:paraId="2CB36FD7" w14:textId="5C9FB8C1" w:rsidR="00242C85" w:rsidRPr="00E03289" w:rsidRDefault="00242C85" w:rsidP="00242C85">
    <w:pPr>
      <w:pStyle w:val="Header"/>
      <w:ind w:right="-575"/>
      <w:jc w:val="right"/>
      <w:rPr>
        <w:color w:val="143C71"/>
      </w:rPr>
    </w:pPr>
    <w:r w:rsidRPr="00E03289">
      <w:rPr>
        <w:noProof/>
        <w:color w:val="143C71"/>
      </w:rPr>
      <mc:AlternateContent>
        <mc:Choice Requires="wps">
          <w:drawing>
            <wp:anchor distT="0" distB="0" distL="114300" distR="114300" simplePos="0" relativeHeight="251661316" behindDoc="0" locked="0" layoutInCell="1" allowOverlap="1" wp14:anchorId="7AD65E6C" wp14:editId="6BB0F970">
              <wp:simplePos x="0" y="0"/>
              <wp:positionH relativeFrom="column">
                <wp:posOffset>-884389</wp:posOffset>
              </wp:positionH>
              <wp:positionV relativeFrom="paragraph">
                <wp:posOffset>107282</wp:posOffset>
              </wp:positionV>
              <wp:extent cx="6406147" cy="32084"/>
              <wp:effectExtent l="0" t="0" r="7620" b="19050"/>
              <wp:wrapNone/>
              <wp:docPr id="19" name="Straight Connector 19"/>
              <wp:cNvGraphicFramePr/>
              <a:graphic xmlns:a="http://schemas.openxmlformats.org/drawingml/2006/main">
                <a:graphicData uri="http://schemas.microsoft.com/office/word/2010/wordprocessingShape">
                  <wps:wsp>
                    <wps:cNvCnPr/>
                    <wps:spPr>
                      <a:xfrm flipH="1">
                        <a:off x="0" y="0"/>
                        <a:ext cx="6406147" cy="32084"/>
                      </a:xfrm>
                      <a:prstGeom prst="line">
                        <a:avLst/>
                      </a:prstGeom>
                      <a:ln w="12700">
                        <a:solidFill>
                          <a:srgbClr val="143C7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A02E5" id="Straight Connector 19" o:spid="_x0000_s1026" style="position:absolute;flip:x;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8.45pt" to="43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" strokecolor="#143c71" strokeweight="1pt"/>
          </w:pict>
        </mc:Fallback>
      </mc:AlternateContent>
    </w:r>
    <w:r w:rsidRPr="00E03289">
      <w:rPr>
        <w:color w:val="143C71"/>
      </w:rPr>
      <w:t>BIOFIN</w:t>
    </w:r>
  </w:p>
  <w:p w14:paraId="13B3FB34" w14:textId="65BEB979" w:rsidR="00456A2A" w:rsidRPr="00382ABA" w:rsidRDefault="00456A2A" w:rsidP="00531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31E"/>
    <w:multiLevelType w:val="hybridMultilevel"/>
    <w:tmpl w:val="87C2C8A0"/>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6675F72"/>
    <w:multiLevelType w:val="hybridMultilevel"/>
    <w:tmpl w:val="A692D45E"/>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D5414E1"/>
    <w:multiLevelType w:val="hybridMultilevel"/>
    <w:tmpl w:val="4B5EB8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510456F"/>
    <w:multiLevelType w:val="hybridMultilevel"/>
    <w:tmpl w:val="CD8AC3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A71E72"/>
    <w:multiLevelType w:val="hybridMultilevel"/>
    <w:tmpl w:val="8ADC9CA2"/>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4C00869"/>
    <w:multiLevelType w:val="hybridMultilevel"/>
    <w:tmpl w:val="CD8AC3B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257E0293"/>
    <w:multiLevelType w:val="hybridMultilevel"/>
    <w:tmpl w:val="75942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84E74F9"/>
    <w:multiLevelType w:val="hybridMultilevel"/>
    <w:tmpl w:val="80C809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9B06F92"/>
    <w:multiLevelType w:val="hybridMultilevel"/>
    <w:tmpl w:val="0F9AF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1530219"/>
    <w:multiLevelType w:val="hybridMultilevel"/>
    <w:tmpl w:val="10DC073C"/>
    <w:lvl w:ilvl="0" w:tplc="08DE6C5E">
      <w:start w:val="1"/>
      <w:numFmt w:val="bullet"/>
      <w:pStyle w:val="Bullet1"/>
      <w:lvlText w:val=""/>
      <w:lvlJc w:val="left"/>
      <w:pPr>
        <w:ind w:left="1077" w:hanging="360"/>
      </w:pPr>
      <w:rPr>
        <w:rFonts w:ascii="Symbol" w:hAnsi="Symbol" w:hint="default"/>
        <w:b/>
        <w:i w:val="0"/>
        <w:color w:val="143C7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51F1ECB"/>
    <w:multiLevelType w:val="hybridMultilevel"/>
    <w:tmpl w:val="047A30AC"/>
    <w:lvl w:ilvl="0" w:tplc="C0E805F8">
      <w:start w:val="1"/>
      <w:numFmt w:val="bullet"/>
      <w:lvlText w:val="•"/>
      <w:lvlJc w:val="left"/>
      <w:pPr>
        <w:tabs>
          <w:tab w:val="num" w:pos="720"/>
        </w:tabs>
        <w:ind w:left="720" w:hanging="360"/>
      </w:pPr>
      <w:rPr>
        <w:rFonts w:ascii="Arial" w:hAnsi="Arial" w:hint="default"/>
      </w:rPr>
    </w:lvl>
    <w:lvl w:ilvl="1" w:tplc="7AD4B2E4" w:tentative="1">
      <w:start w:val="1"/>
      <w:numFmt w:val="bullet"/>
      <w:lvlText w:val="•"/>
      <w:lvlJc w:val="left"/>
      <w:pPr>
        <w:tabs>
          <w:tab w:val="num" w:pos="1440"/>
        </w:tabs>
        <w:ind w:left="1440" w:hanging="360"/>
      </w:pPr>
      <w:rPr>
        <w:rFonts w:ascii="Arial" w:hAnsi="Arial" w:hint="default"/>
      </w:rPr>
    </w:lvl>
    <w:lvl w:ilvl="2" w:tplc="700033D2" w:tentative="1">
      <w:start w:val="1"/>
      <w:numFmt w:val="bullet"/>
      <w:lvlText w:val="•"/>
      <w:lvlJc w:val="left"/>
      <w:pPr>
        <w:tabs>
          <w:tab w:val="num" w:pos="2160"/>
        </w:tabs>
        <w:ind w:left="2160" w:hanging="360"/>
      </w:pPr>
      <w:rPr>
        <w:rFonts w:ascii="Arial" w:hAnsi="Arial" w:hint="default"/>
      </w:rPr>
    </w:lvl>
    <w:lvl w:ilvl="3" w:tplc="5EAC479E" w:tentative="1">
      <w:start w:val="1"/>
      <w:numFmt w:val="bullet"/>
      <w:lvlText w:val="•"/>
      <w:lvlJc w:val="left"/>
      <w:pPr>
        <w:tabs>
          <w:tab w:val="num" w:pos="2880"/>
        </w:tabs>
        <w:ind w:left="2880" w:hanging="360"/>
      </w:pPr>
      <w:rPr>
        <w:rFonts w:ascii="Arial" w:hAnsi="Arial" w:hint="default"/>
      </w:rPr>
    </w:lvl>
    <w:lvl w:ilvl="4" w:tplc="0E0C64D6" w:tentative="1">
      <w:start w:val="1"/>
      <w:numFmt w:val="bullet"/>
      <w:lvlText w:val="•"/>
      <w:lvlJc w:val="left"/>
      <w:pPr>
        <w:tabs>
          <w:tab w:val="num" w:pos="3600"/>
        </w:tabs>
        <w:ind w:left="3600" w:hanging="360"/>
      </w:pPr>
      <w:rPr>
        <w:rFonts w:ascii="Arial" w:hAnsi="Arial" w:hint="default"/>
      </w:rPr>
    </w:lvl>
    <w:lvl w:ilvl="5" w:tplc="032E54F2" w:tentative="1">
      <w:start w:val="1"/>
      <w:numFmt w:val="bullet"/>
      <w:lvlText w:val="•"/>
      <w:lvlJc w:val="left"/>
      <w:pPr>
        <w:tabs>
          <w:tab w:val="num" w:pos="4320"/>
        </w:tabs>
        <w:ind w:left="4320" w:hanging="360"/>
      </w:pPr>
      <w:rPr>
        <w:rFonts w:ascii="Arial" w:hAnsi="Arial" w:hint="default"/>
      </w:rPr>
    </w:lvl>
    <w:lvl w:ilvl="6" w:tplc="5AA4C6B8" w:tentative="1">
      <w:start w:val="1"/>
      <w:numFmt w:val="bullet"/>
      <w:lvlText w:val="•"/>
      <w:lvlJc w:val="left"/>
      <w:pPr>
        <w:tabs>
          <w:tab w:val="num" w:pos="5040"/>
        </w:tabs>
        <w:ind w:left="5040" w:hanging="360"/>
      </w:pPr>
      <w:rPr>
        <w:rFonts w:ascii="Arial" w:hAnsi="Arial" w:hint="default"/>
      </w:rPr>
    </w:lvl>
    <w:lvl w:ilvl="7" w:tplc="25BE3324" w:tentative="1">
      <w:start w:val="1"/>
      <w:numFmt w:val="bullet"/>
      <w:lvlText w:val="•"/>
      <w:lvlJc w:val="left"/>
      <w:pPr>
        <w:tabs>
          <w:tab w:val="num" w:pos="5760"/>
        </w:tabs>
        <w:ind w:left="5760" w:hanging="360"/>
      </w:pPr>
      <w:rPr>
        <w:rFonts w:ascii="Arial" w:hAnsi="Arial" w:hint="default"/>
      </w:rPr>
    </w:lvl>
    <w:lvl w:ilvl="8" w:tplc="60122A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693446"/>
    <w:multiLevelType w:val="hybridMultilevel"/>
    <w:tmpl w:val="08A61F5E"/>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8D863B8"/>
    <w:multiLevelType w:val="hybridMultilevel"/>
    <w:tmpl w:val="38B0255E"/>
    <w:lvl w:ilvl="0" w:tplc="F15631C2">
      <w:start w:val="1"/>
      <w:numFmt w:val="decimal"/>
      <w:pStyle w:val="Numbered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9BF1F68"/>
    <w:multiLevelType w:val="hybridMultilevel"/>
    <w:tmpl w:val="1A326014"/>
    <w:lvl w:ilvl="0" w:tplc="4B080AFE">
      <w:start w:val="1"/>
      <w:numFmt w:val="bullet"/>
      <w:lvlText w:val="•"/>
      <w:lvlJc w:val="left"/>
      <w:pPr>
        <w:tabs>
          <w:tab w:val="num" w:pos="720"/>
        </w:tabs>
        <w:ind w:left="720" w:hanging="360"/>
      </w:pPr>
      <w:rPr>
        <w:rFonts w:ascii="Arial" w:hAnsi="Arial" w:hint="default"/>
      </w:rPr>
    </w:lvl>
    <w:lvl w:ilvl="1" w:tplc="07023906" w:tentative="1">
      <w:start w:val="1"/>
      <w:numFmt w:val="bullet"/>
      <w:lvlText w:val="•"/>
      <w:lvlJc w:val="left"/>
      <w:pPr>
        <w:tabs>
          <w:tab w:val="num" w:pos="1440"/>
        </w:tabs>
        <w:ind w:left="1440" w:hanging="360"/>
      </w:pPr>
      <w:rPr>
        <w:rFonts w:ascii="Arial" w:hAnsi="Arial" w:hint="default"/>
      </w:rPr>
    </w:lvl>
    <w:lvl w:ilvl="2" w:tplc="024432AA" w:tentative="1">
      <w:start w:val="1"/>
      <w:numFmt w:val="bullet"/>
      <w:lvlText w:val="•"/>
      <w:lvlJc w:val="left"/>
      <w:pPr>
        <w:tabs>
          <w:tab w:val="num" w:pos="2160"/>
        </w:tabs>
        <w:ind w:left="2160" w:hanging="360"/>
      </w:pPr>
      <w:rPr>
        <w:rFonts w:ascii="Arial" w:hAnsi="Arial" w:hint="default"/>
      </w:rPr>
    </w:lvl>
    <w:lvl w:ilvl="3" w:tplc="078A9284" w:tentative="1">
      <w:start w:val="1"/>
      <w:numFmt w:val="bullet"/>
      <w:lvlText w:val="•"/>
      <w:lvlJc w:val="left"/>
      <w:pPr>
        <w:tabs>
          <w:tab w:val="num" w:pos="2880"/>
        </w:tabs>
        <w:ind w:left="2880" w:hanging="360"/>
      </w:pPr>
      <w:rPr>
        <w:rFonts w:ascii="Arial" w:hAnsi="Arial" w:hint="default"/>
      </w:rPr>
    </w:lvl>
    <w:lvl w:ilvl="4" w:tplc="5C04709E" w:tentative="1">
      <w:start w:val="1"/>
      <w:numFmt w:val="bullet"/>
      <w:lvlText w:val="•"/>
      <w:lvlJc w:val="left"/>
      <w:pPr>
        <w:tabs>
          <w:tab w:val="num" w:pos="3600"/>
        </w:tabs>
        <w:ind w:left="3600" w:hanging="360"/>
      </w:pPr>
      <w:rPr>
        <w:rFonts w:ascii="Arial" w:hAnsi="Arial" w:hint="default"/>
      </w:rPr>
    </w:lvl>
    <w:lvl w:ilvl="5" w:tplc="E6B8AF98" w:tentative="1">
      <w:start w:val="1"/>
      <w:numFmt w:val="bullet"/>
      <w:lvlText w:val="•"/>
      <w:lvlJc w:val="left"/>
      <w:pPr>
        <w:tabs>
          <w:tab w:val="num" w:pos="4320"/>
        </w:tabs>
        <w:ind w:left="4320" w:hanging="360"/>
      </w:pPr>
      <w:rPr>
        <w:rFonts w:ascii="Arial" w:hAnsi="Arial" w:hint="default"/>
      </w:rPr>
    </w:lvl>
    <w:lvl w:ilvl="6" w:tplc="CEF40CCA" w:tentative="1">
      <w:start w:val="1"/>
      <w:numFmt w:val="bullet"/>
      <w:lvlText w:val="•"/>
      <w:lvlJc w:val="left"/>
      <w:pPr>
        <w:tabs>
          <w:tab w:val="num" w:pos="5040"/>
        </w:tabs>
        <w:ind w:left="5040" w:hanging="360"/>
      </w:pPr>
      <w:rPr>
        <w:rFonts w:ascii="Arial" w:hAnsi="Arial" w:hint="default"/>
      </w:rPr>
    </w:lvl>
    <w:lvl w:ilvl="7" w:tplc="13ECACF6" w:tentative="1">
      <w:start w:val="1"/>
      <w:numFmt w:val="bullet"/>
      <w:lvlText w:val="•"/>
      <w:lvlJc w:val="left"/>
      <w:pPr>
        <w:tabs>
          <w:tab w:val="num" w:pos="5760"/>
        </w:tabs>
        <w:ind w:left="5760" w:hanging="360"/>
      </w:pPr>
      <w:rPr>
        <w:rFonts w:ascii="Arial" w:hAnsi="Arial" w:hint="default"/>
      </w:rPr>
    </w:lvl>
    <w:lvl w:ilvl="8" w:tplc="D73A6C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AB7740"/>
    <w:multiLevelType w:val="multilevel"/>
    <w:tmpl w:val="730CFAD6"/>
    <w:lvl w:ilvl="0">
      <w:start w:val="1"/>
      <w:numFmt w:val="decimal"/>
      <w:pStyle w:val="Heading1"/>
      <w:lvlText w:val="%1."/>
      <w:lvlJc w:val="left"/>
      <w:pPr>
        <w:ind w:left="454" w:hanging="454"/>
      </w:pPr>
      <w:rPr>
        <w:rFonts w:hint="default"/>
      </w:rPr>
    </w:lvl>
    <w:lvl w:ilvl="1">
      <w:start w:val="1"/>
      <w:numFmt w:val="decimal"/>
      <w:pStyle w:val="Heading2"/>
      <w:lvlText w:val="%1.%2."/>
      <w:lvlJc w:val="left"/>
      <w:pPr>
        <w:ind w:left="1440" w:hanging="1156"/>
      </w:pPr>
      <w:rPr>
        <w:rFonts w:hint="default"/>
      </w:rPr>
    </w:lvl>
    <w:lvl w:ilvl="2">
      <w:start w:val="1"/>
      <w:numFmt w:val="decimal"/>
      <w:pStyle w:val="Heading3"/>
      <w:lvlText w:val="%1.%2.%3."/>
      <w:lvlJc w:val="right"/>
      <w:pPr>
        <w:ind w:left="2160" w:hanging="180"/>
      </w:pPr>
      <w:rPr>
        <w:rFonts w:hint="default"/>
      </w:rPr>
    </w:lvl>
    <w:lvl w:ilvl="3">
      <w:start w:val="1"/>
      <w:numFmt w:val="decimal"/>
      <w:pStyle w:val="Heading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F746C9"/>
    <w:multiLevelType w:val="hybridMultilevel"/>
    <w:tmpl w:val="A5D0B39C"/>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977228F"/>
    <w:multiLevelType w:val="hybridMultilevel"/>
    <w:tmpl w:val="CF0A446C"/>
    <w:lvl w:ilvl="0" w:tplc="30DE0B8A">
      <w:start w:val="1"/>
      <w:numFmt w:val="bullet"/>
      <w:pStyle w:val="Bullet2"/>
      <w:lvlText w:val="˗"/>
      <w:lvlJc w:val="left"/>
      <w:pPr>
        <w:ind w:left="1797" w:hanging="360"/>
      </w:pPr>
      <w:rPr>
        <w:rFonts w:ascii="Arial" w:hAnsi="Arial" w:hint="default"/>
        <w:b/>
        <w:i w:val="0"/>
        <w:color w:val="098435"/>
        <w:u w:val="none"/>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7" w15:restartNumberingAfterBreak="0">
    <w:nsid w:val="4FA40035"/>
    <w:multiLevelType w:val="hybridMultilevel"/>
    <w:tmpl w:val="27DC66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FB16F72"/>
    <w:multiLevelType w:val="hybridMultilevel"/>
    <w:tmpl w:val="4F2E22E4"/>
    <w:lvl w:ilvl="0" w:tplc="CA803A6C">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FC27ACE"/>
    <w:multiLevelType w:val="hybridMultilevel"/>
    <w:tmpl w:val="29D43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2FE17E4"/>
    <w:multiLevelType w:val="hybridMultilevel"/>
    <w:tmpl w:val="5AC0EE86"/>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3440F80"/>
    <w:multiLevelType w:val="hybridMultilevel"/>
    <w:tmpl w:val="A462D3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6AA77CD"/>
    <w:multiLevelType w:val="hybridMultilevel"/>
    <w:tmpl w:val="78A604D4"/>
    <w:lvl w:ilvl="0" w:tplc="2730C5E6">
      <w:start w:val="1"/>
      <w:numFmt w:val="bullet"/>
      <w:pStyle w:val="ListBullet2"/>
      <w:lvlText w:val="˗"/>
      <w:lvlJc w:val="left"/>
      <w:pPr>
        <w:ind w:left="1797" w:hanging="360"/>
      </w:pPr>
      <w:rPr>
        <w:rFonts w:ascii="Arial" w:hAnsi="Aria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3" w15:restartNumberingAfterBreak="0">
    <w:nsid w:val="5B8B2522"/>
    <w:multiLevelType w:val="hybridMultilevel"/>
    <w:tmpl w:val="89587D48"/>
    <w:lvl w:ilvl="0" w:tplc="FFFFFFFF">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4E3069"/>
    <w:multiLevelType w:val="multilevel"/>
    <w:tmpl w:val="EAFC800C"/>
    <w:lvl w:ilvl="0">
      <w:start w:val="1"/>
      <w:numFmt w:val="decimal"/>
      <w:pStyle w:val="AnnexCoverHeading"/>
      <w:suff w:val="space"/>
      <w:lvlText w:val="Annex %1:"/>
      <w:lvlJc w:val="left"/>
      <w:pPr>
        <w:ind w:left="0" w:firstLine="0"/>
      </w:pPr>
      <w:rPr>
        <w:rFonts w:asciiTheme="majorHAnsi" w:hAnsiTheme="majorHAnsi" w:hint="default"/>
        <w:b/>
        <w:i w:val="0"/>
        <w:sz w:val="72"/>
        <w:szCs w:val="7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0A0328"/>
    <w:multiLevelType w:val="hybridMultilevel"/>
    <w:tmpl w:val="89587D48"/>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20D4690"/>
    <w:multiLevelType w:val="hybridMultilevel"/>
    <w:tmpl w:val="08A61F5E"/>
    <w:lvl w:ilvl="0" w:tplc="FFFFFFFF">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5D272C"/>
    <w:multiLevelType w:val="hybridMultilevel"/>
    <w:tmpl w:val="D6A4DA4A"/>
    <w:lvl w:ilvl="0" w:tplc="22C8AF84">
      <w:start w:val="1"/>
      <w:numFmt w:val="decimal"/>
      <w:lvlText w:val="%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3D51D0B"/>
    <w:multiLevelType w:val="hybridMultilevel"/>
    <w:tmpl w:val="00040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28170E"/>
    <w:multiLevelType w:val="hybridMultilevel"/>
    <w:tmpl w:val="1256D2AE"/>
    <w:lvl w:ilvl="0" w:tplc="1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FCD2FAC"/>
    <w:multiLevelType w:val="hybridMultilevel"/>
    <w:tmpl w:val="00040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F52929"/>
    <w:multiLevelType w:val="hybridMultilevel"/>
    <w:tmpl w:val="66F640BE"/>
    <w:lvl w:ilvl="0" w:tplc="1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24933401">
    <w:abstractNumId w:val="22"/>
  </w:num>
  <w:num w:numId="2" w16cid:durableId="196285116">
    <w:abstractNumId w:val="12"/>
  </w:num>
  <w:num w:numId="3" w16cid:durableId="236864355">
    <w:abstractNumId w:val="24"/>
  </w:num>
  <w:num w:numId="4" w16cid:durableId="353385905">
    <w:abstractNumId w:val="9"/>
  </w:num>
  <w:num w:numId="5" w16cid:durableId="1179739203">
    <w:abstractNumId w:val="16"/>
  </w:num>
  <w:num w:numId="6" w16cid:durableId="1253859214">
    <w:abstractNumId w:val="14"/>
  </w:num>
  <w:num w:numId="7" w16cid:durableId="863400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8347640">
    <w:abstractNumId w:val="4"/>
  </w:num>
  <w:num w:numId="9" w16cid:durableId="385108451">
    <w:abstractNumId w:val="30"/>
  </w:num>
  <w:num w:numId="10" w16cid:durableId="1019238085">
    <w:abstractNumId w:val="15"/>
  </w:num>
  <w:num w:numId="11" w16cid:durableId="1985234019">
    <w:abstractNumId w:val="0"/>
  </w:num>
  <w:num w:numId="12" w16cid:durableId="1479573069">
    <w:abstractNumId w:val="27"/>
  </w:num>
  <w:num w:numId="13" w16cid:durableId="191069947">
    <w:abstractNumId w:val="20"/>
  </w:num>
  <w:num w:numId="14" w16cid:durableId="992222630">
    <w:abstractNumId w:val="25"/>
  </w:num>
  <w:num w:numId="15" w16cid:durableId="1773549075">
    <w:abstractNumId w:val="11"/>
  </w:num>
  <w:num w:numId="16" w16cid:durableId="1298492218">
    <w:abstractNumId w:val="1"/>
  </w:num>
  <w:num w:numId="17" w16cid:durableId="714474214">
    <w:abstractNumId w:val="18"/>
  </w:num>
  <w:num w:numId="18" w16cid:durableId="1174414547">
    <w:abstractNumId w:val="28"/>
  </w:num>
  <w:num w:numId="19" w16cid:durableId="1625115953">
    <w:abstractNumId w:val="26"/>
  </w:num>
  <w:num w:numId="20" w16cid:durableId="1629429162">
    <w:abstractNumId w:val="23"/>
  </w:num>
  <w:num w:numId="21" w16cid:durableId="540484983">
    <w:abstractNumId w:val="2"/>
  </w:num>
  <w:num w:numId="22" w16cid:durableId="896865826">
    <w:abstractNumId w:val="6"/>
  </w:num>
  <w:num w:numId="23" w16cid:durableId="858272780">
    <w:abstractNumId w:val="21"/>
  </w:num>
  <w:num w:numId="24" w16cid:durableId="1584072115">
    <w:abstractNumId w:val="7"/>
  </w:num>
  <w:num w:numId="25" w16cid:durableId="1255169191">
    <w:abstractNumId w:val="8"/>
  </w:num>
  <w:num w:numId="26" w16cid:durableId="164441580">
    <w:abstractNumId w:val="5"/>
  </w:num>
  <w:num w:numId="27" w16cid:durableId="1290168213">
    <w:abstractNumId w:val="17"/>
  </w:num>
  <w:num w:numId="28" w16cid:durableId="1944991506">
    <w:abstractNumId w:val="3"/>
  </w:num>
  <w:num w:numId="29" w16cid:durableId="1041438168">
    <w:abstractNumId w:val="31"/>
  </w:num>
  <w:num w:numId="30" w16cid:durableId="1709141229">
    <w:abstractNumId w:val="29"/>
  </w:num>
  <w:num w:numId="31" w16cid:durableId="1307855727">
    <w:abstractNumId w:val="19"/>
  </w:num>
  <w:num w:numId="32" w16cid:durableId="1240362467">
    <w:abstractNumId w:val="13"/>
  </w:num>
  <w:num w:numId="33" w16cid:durableId="182369496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5E1"/>
    <w:rsid w:val="00000258"/>
    <w:rsid w:val="00000BF5"/>
    <w:rsid w:val="00001DC9"/>
    <w:rsid w:val="000028A0"/>
    <w:rsid w:val="00002B21"/>
    <w:rsid w:val="00004603"/>
    <w:rsid w:val="00004DD3"/>
    <w:rsid w:val="00012311"/>
    <w:rsid w:val="00015B9A"/>
    <w:rsid w:val="00015C98"/>
    <w:rsid w:val="000177B8"/>
    <w:rsid w:val="00024774"/>
    <w:rsid w:val="00030365"/>
    <w:rsid w:val="000326E3"/>
    <w:rsid w:val="00032C8B"/>
    <w:rsid w:val="00032E5E"/>
    <w:rsid w:val="00033B8D"/>
    <w:rsid w:val="0003556E"/>
    <w:rsid w:val="00035B3F"/>
    <w:rsid w:val="00036171"/>
    <w:rsid w:val="00036486"/>
    <w:rsid w:val="00037224"/>
    <w:rsid w:val="0003722E"/>
    <w:rsid w:val="00040CE8"/>
    <w:rsid w:val="00042254"/>
    <w:rsid w:val="000423D5"/>
    <w:rsid w:val="000424FD"/>
    <w:rsid w:val="0004621B"/>
    <w:rsid w:val="000507AE"/>
    <w:rsid w:val="00051E3E"/>
    <w:rsid w:val="000522FD"/>
    <w:rsid w:val="00053467"/>
    <w:rsid w:val="00055B7F"/>
    <w:rsid w:val="0005634B"/>
    <w:rsid w:val="00057260"/>
    <w:rsid w:val="00060167"/>
    <w:rsid w:val="00062798"/>
    <w:rsid w:val="00062C60"/>
    <w:rsid w:val="0006306F"/>
    <w:rsid w:val="000630BD"/>
    <w:rsid w:val="00063882"/>
    <w:rsid w:val="00064C92"/>
    <w:rsid w:val="000667F1"/>
    <w:rsid w:val="00071548"/>
    <w:rsid w:val="00071B23"/>
    <w:rsid w:val="00075A33"/>
    <w:rsid w:val="00077403"/>
    <w:rsid w:val="00077BC9"/>
    <w:rsid w:val="00080BDB"/>
    <w:rsid w:val="000810D5"/>
    <w:rsid w:val="00082E58"/>
    <w:rsid w:val="00083C8D"/>
    <w:rsid w:val="00083F1F"/>
    <w:rsid w:val="00087053"/>
    <w:rsid w:val="000872EA"/>
    <w:rsid w:val="00087392"/>
    <w:rsid w:val="0008789D"/>
    <w:rsid w:val="0009255E"/>
    <w:rsid w:val="00092FF0"/>
    <w:rsid w:val="000937DC"/>
    <w:rsid w:val="00093B23"/>
    <w:rsid w:val="00095047"/>
    <w:rsid w:val="000959A5"/>
    <w:rsid w:val="00095E51"/>
    <w:rsid w:val="00096D2A"/>
    <w:rsid w:val="000A21A5"/>
    <w:rsid w:val="000A2D43"/>
    <w:rsid w:val="000A3B21"/>
    <w:rsid w:val="000A3C56"/>
    <w:rsid w:val="000A4A1E"/>
    <w:rsid w:val="000A567A"/>
    <w:rsid w:val="000A7123"/>
    <w:rsid w:val="000B1C7A"/>
    <w:rsid w:val="000B51BA"/>
    <w:rsid w:val="000B570E"/>
    <w:rsid w:val="000B6A17"/>
    <w:rsid w:val="000C0A97"/>
    <w:rsid w:val="000C16D2"/>
    <w:rsid w:val="000C3A96"/>
    <w:rsid w:val="000C3FFB"/>
    <w:rsid w:val="000C4341"/>
    <w:rsid w:val="000C61AF"/>
    <w:rsid w:val="000C6F71"/>
    <w:rsid w:val="000C7357"/>
    <w:rsid w:val="000C7A30"/>
    <w:rsid w:val="000D0BFC"/>
    <w:rsid w:val="000D1D06"/>
    <w:rsid w:val="000D3C07"/>
    <w:rsid w:val="000D475A"/>
    <w:rsid w:val="000D47C6"/>
    <w:rsid w:val="000D5221"/>
    <w:rsid w:val="000D6769"/>
    <w:rsid w:val="000D78A2"/>
    <w:rsid w:val="000E0E28"/>
    <w:rsid w:val="000E1632"/>
    <w:rsid w:val="000E2BA8"/>
    <w:rsid w:val="000E2BFE"/>
    <w:rsid w:val="000E6622"/>
    <w:rsid w:val="000E7580"/>
    <w:rsid w:val="000F16E0"/>
    <w:rsid w:val="000F5359"/>
    <w:rsid w:val="000F53FD"/>
    <w:rsid w:val="000F5AC2"/>
    <w:rsid w:val="000F685B"/>
    <w:rsid w:val="000F69DF"/>
    <w:rsid w:val="000F7526"/>
    <w:rsid w:val="000F79BB"/>
    <w:rsid w:val="001001ED"/>
    <w:rsid w:val="001056B7"/>
    <w:rsid w:val="00105BBE"/>
    <w:rsid w:val="0010663B"/>
    <w:rsid w:val="00106C21"/>
    <w:rsid w:val="0010735D"/>
    <w:rsid w:val="00107AFB"/>
    <w:rsid w:val="00111124"/>
    <w:rsid w:val="0011281C"/>
    <w:rsid w:val="00112AFC"/>
    <w:rsid w:val="0011350B"/>
    <w:rsid w:val="00113A53"/>
    <w:rsid w:val="001145F0"/>
    <w:rsid w:val="0011576A"/>
    <w:rsid w:val="00115A96"/>
    <w:rsid w:val="00115F9D"/>
    <w:rsid w:val="0012087F"/>
    <w:rsid w:val="00120B44"/>
    <w:rsid w:val="0012195C"/>
    <w:rsid w:val="00121B2A"/>
    <w:rsid w:val="00122545"/>
    <w:rsid w:val="00122D21"/>
    <w:rsid w:val="00122E0C"/>
    <w:rsid w:val="00123BB1"/>
    <w:rsid w:val="00124AB7"/>
    <w:rsid w:val="00126B78"/>
    <w:rsid w:val="00130007"/>
    <w:rsid w:val="001315C2"/>
    <w:rsid w:val="00132B30"/>
    <w:rsid w:val="00135030"/>
    <w:rsid w:val="00135F91"/>
    <w:rsid w:val="001366E2"/>
    <w:rsid w:val="0013771B"/>
    <w:rsid w:val="00142908"/>
    <w:rsid w:val="001431A6"/>
    <w:rsid w:val="00143C00"/>
    <w:rsid w:val="00155E81"/>
    <w:rsid w:val="00156454"/>
    <w:rsid w:val="00156D90"/>
    <w:rsid w:val="001632AD"/>
    <w:rsid w:val="00164438"/>
    <w:rsid w:val="00164752"/>
    <w:rsid w:val="00167203"/>
    <w:rsid w:val="00170F95"/>
    <w:rsid w:val="0017293C"/>
    <w:rsid w:val="00173229"/>
    <w:rsid w:val="00173953"/>
    <w:rsid w:val="001742FD"/>
    <w:rsid w:val="00174756"/>
    <w:rsid w:val="001748FC"/>
    <w:rsid w:val="00174F91"/>
    <w:rsid w:val="0017671E"/>
    <w:rsid w:val="00177B82"/>
    <w:rsid w:val="00182DD8"/>
    <w:rsid w:val="001837B6"/>
    <w:rsid w:val="0018482F"/>
    <w:rsid w:val="0018485E"/>
    <w:rsid w:val="001848AC"/>
    <w:rsid w:val="00184E13"/>
    <w:rsid w:val="001854F8"/>
    <w:rsid w:val="0018654B"/>
    <w:rsid w:val="00186C46"/>
    <w:rsid w:val="00187AF9"/>
    <w:rsid w:val="00190456"/>
    <w:rsid w:val="00190F02"/>
    <w:rsid w:val="0019258E"/>
    <w:rsid w:val="00192B5C"/>
    <w:rsid w:val="00193DF7"/>
    <w:rsid w:val="001A1664"/>
    <w:rsid w:val="001A4006"/>
    <w:rsid w:val="001A4719"/>
    <w:rsid w:val="001A49D8"/>
    <w:rsid w:val="001B25BF"/>
    <w:rsid w:val="001B3CAF"/>
    <w:rsid w:val="001B4AB8"/>
    <w:rsid w:val="001B55FD"/>
    <w:rsid w:val="001B671C"/>
    <w:rsid w:val="001B7685"/>
    <w:rsid w:val="001C211B"/>
    <w:rsid w:val="001C311E"/>
    <w:rsid w:val="001C313C"/>
    <w:rsid w:val="001C39EC"/>
    <w:rsid w:val="001C6827"/>
    <w:rsid w:val="001C744B"/>
    <w:rsid w:val="001D1006"/>
    <w:rsid w:val="001D20CF"/>
    <w:rsid w:val="001D2FDB"/>
    <w:rsid w:val="001D3BAB"/>
    <w:rsid w:val="001D5B54"/>
    <w:rsid w:val="001D6748"/>
    <w:rsid w:val="001D7457"/>
    <w:rsid w:val="001E20FA"/>
    <w:rsid w:val="001E22F6"/>
    <w:rsid w:val="001E3656"/>
    <w:rsid w:val="001E5A39"/>
    <w:rsid w:val="001E658F"/>
    <w:rsid w:val="001E6FB1"/>
    <w:rsid w:val="001E72C1"/>
    <w:rsid w:val="001E7C96"/>
    <w:rsid w:val="001F0677"/>
    <w:rsid w:val="001F0E98"/>
    <w:rsid w:val="001F3A13"/>
    <w:rsid w:val="001F3B2A"/>
    <w:rsid w:val="001F4F81"/>
    <w:rsid w:val="001F522B"/>
    <w:rsid w:val="00202B21"/>
    <w:rsid w:val="002033EE"/>
    <w:rsid w:val="00203A24"/>
    <w:rsid w:val="00203D30"/>
    <w:rsid w:val="00205B27"/>
    <w:rsid w:val="00207409"/>
    <w:rsid w:val="00207767"/>
    <w:rsid w:val="00210B63"/>
    <w:rsid w:val="00211A7A"/>
    <w:rsid w:val="00211B4D"/>
    <w:rsid w:val="0021471F"/>
    <w:rsid w:val="002156B2"/>
    <w:rsid w:val="00216F48"/>
    <w:rsid w:val="00217FA0"/>
    <w:rsid w:val="002207AC"/>
    <w:rsid w:val="0022163D"/>
    <w:rsid w:val="00221A41"/>
    <w:rsid w:val="00221AEC"/>
    <w:rsid w:val="00222BAD"/>
    <w:rsid w:val="00224FF7"/>
    <w:rsid w:val="002265D6"/>
    <w:rsid w:val="00226782"/>
    <w:rsid w:val="00227F05"/>
    <w:rsid w:val="002302FB"/>
    <w:rsid w:val="002303CF"/>
    <w:rsid w:val="00230B6D"/>
    <w:rsid w:val="00231032"/>
    <w:rsid w:val="002321BC"/>
    <w:rsid w:val="002326FA"/>
    <w:rsid w:val="00233939"/>
    <w:rsid w:val="002356F8"/>
    <w:rsid w:val="0023633B"/>
    <w:rsid w:val="002370C5"/>
    <w:rsid w:val="00237A7C"/>
    <w:rsid w:val="00237CDD"/>
    <w:rsid w:val="00240EF4"/>
    <w:rsid w:val="00241376"/>
    <w:rsid w:val="00242C85"/>
    <w:rsid w:val="00243BA5"/>
    <w:rsid w:val="00243E7B"/>
    <w:rsid w:val="002440AE"/>
    <w:rsid w:val="00245796"/>
    <w:rsid w:val="00247479"/>
    <w:rsid w:val="002501B4"/>
    <w:rsid w:val="002551B2"/>
    <w:rsid w:val="00256285"/>
    <w:rsid w:val="00257487"/>
    <w:rsid w:val="00260AA0"/>
    <w:rsid w:val="00261068"/>
    <w:rsid w:val="002615C5"/>
    <w:rsid w:val="0026488F"/>
    <w:rsid w:val="002666BD"/>
    <w:rsid w:val="0027067C"/>
    <w:rsid w:val="00270F93"/>
    <w:rsid w:val="00271E2E"/>
    <w:rsid w:val="00272DAA"/>
    <w:rsid w:val="00273212"/>
    <w:rsid w:val="002743F8"/>
    <w:rsid w:val="00275101"/>
    <w:rsid w:val="00276385"/>
    <w:rsid w:val="00277521"/>
    <w:rsid w:val="0028275D"/>
    <w:rsid w:val="00282E59"/>
    <w:rsid w:val="00283284"/>
    <w:rsid w:val="00283E88"/>
    <w:rsid w:val="00286501"/>
    <w:rsid w:val="00286E36"/>
    <w:rsid w:val="00286EC9"/>
    <w:rsid w:val="00287CCE"/>
    <w:rsid w:val="0029348A"/>
    <w:rsid w:val="002943C7"/>
    <w:rsid w:val="00294997"/>
    <w:rsid w:val="002951DE"/>
    <w:rsid w:val="00296AE0"/>
    <w:rsid w:val="002976F1"/>
    <w:rsid w:val="002978B2"/>
    <w:rsid w:val="002A14DC"/>
    <w:rsid w:val="002A3CE0"/>
    <w:rsid w:val="002A5682"/>
    <w:rsid w:val="002A659E"/>
    <w:rsid w:val="002B0022"/>
    <w:rsid w:val="002B00F9"/>
    <w:rsid w:val="002B0132"/>
    <w:rsid w:val="002B0BDD"/>
    <w:rsid w:val="002B1730"/>
    <w:rsid w:val="002B2546"/>
    <w:rsid w:val="002B4FC7"/>
    <w:rsid w:val="002B4FF7"/>
    <w:rsid w:val="002B68A9"/>
    <w:rsid w:val="002C0120"/>
    <w:rsid w:val="002C087E"/>
    <w:rsid w:val="002C0AD9"/>
    <w:rsid w:val="002C2CC9"/>
    <w:rsid w:val="002C6944"/>
    <w:rsid w:val="002C6CE2"/>
    <w:rsid w:val="002D11EF"/>
    <w:rsid w:val="002D2EBF"/>
    <w:rsid w:val="002D34F2"/>
    <w:rsid w:val="002D35CA"/>
    <w:rsid w:val="002D6399"/>
    <w:rsid w:val="002E0BD2"/>
    <w:rsid w:val="002E0CF3"/>
    <w:rsid w:val="002E1151"/>
    <w:rsid w:val="002E1C9D"/>
    <w:rsid w:val="002E4EFE"/>
    <w:rsid w:val="002E6D9F"/>
    <w:rsid w:val="002F1587"/>
    <w:rsid w:val="002F2C1E"/>
    <w:rsid w:val="002F2D8C"/>
    <w:rsid w:val="002F62DA"/>
    <w:rsid w:val="002F71FE"/>
    <w:rsid w:val="002F7C06"/>
    <w:rsid w:val="00300FBE"/>
    <w:rsid w:val="00303411"/>
    <w:rsid w:val="00303A16"/>
    <w:rsid w:val="0030616F"/>
    <w:rsid w:val="00307E0B"/>
    <w:rsid w:val="0031045A"/>
    <w:rsid w:val="00310CD0"/>
    <w:rsid w:val="0031109B"/>
    <w:rsid w:val="00311604"/>
    <w:rsid w:val="003164D2"/>
    <w:rsid w:val="00316904"/>
    <w:rsid w:val="003205AB"/>
    <w:rsid w:val="00321279"/>
    <w:rsid w:val="00322704"/>
    <w:rsid w:val="00325E27"/>
    <w:rsid w:val="00325F7F"/>
    <w:rsid w:val="003264C7"/>
    <w:rsid w:val="00333BCD"/>
    <w:rsid w:val="003340D9"/>
    <w:rsid w:val="00334206"/>
    <w:rsid w:val="00334E97"/>
    <w:rsid w:val="003354DC"/>
    <w:rsid w:val="003370B4"/>
    <w:rsid w:val="00337A28"/>
    <w:rsid w:val="003409C3"/>
    <w:rsid w:val="00340B66"/>
    <w:rsid w:val="0034122E"/>
    <w:rsid w:val="00342505"/>
    <w:rsid w:val="00343581"/>
    <w:rsid w:val="003449D4"/>
    <w:rsid w:val="00345EDF"/>
    <w:rsid w:val="003467A9"/>
    <w:rsid w:val="003478E2"/>
    <w:rsid w:val="00350674"/>
    <w:rsid w:val="00350858"/>
    <w:rsid w:val="00350C07"/>
    <w:rsid w:val="003511AD"/>
    <w:rsid w:val="0035256D"/>
    <w:rsid w:val="003547BE"/>
    <w:rsid w:val="003552D0"/>
    <w:rsid w:val="00355438"/>
    <w:rsid w:val="00355481"/>
    <w:rsid w:val="0035636B"/>
    <w:rsid w:val="0035711E"/>
    <w:rsid w:val="00360226"/>
    <w:rsid w:val="003646EF"/>
    <w:rsid w:val="0036578B"/>
    <w:rsid w:val="003666EA"/>
    <w:rsid w:val="00366F26"/>
    <w:rsid w:val="00367B7C"/>
    <w:rsid w:val="00370BEA"/>
    <w:rsid w:val="00371CEE"/>
    <w:rsid w:val="00372369"/>
    <w:rsid w:val="00373DAA"/>
    <w:rsid w:val="00376842"/>
    <w:rsid w:val="003809E4"/>
    <w:rsid w:val="00381C57"/>
    <w:rsid w:val="00382ABA"/>
    <w:rsid w:val="00382F5A"/>
    <w:rsid w:val="0038493D"/>
    <w:rsid w:val="00385234"/>
    <w:rsid w:val="00387AEC"/>
    <w:rsid w:val="00390884"/>
    <w:rsid w:val="003910CD"/>
    <w:rsid w:val="003927C1"/>
    <w:rsid w:val="003934F2"/>
    <w:rsid w:val="00397879"/>
    <w:rsid w:val="003A09AA"/>
    <w:rsid w:val="003A1C58"/>
    <w:rsid w:val="003A2C3E"/>
    <w:rsid w:val="003A541A"/>
    <w:rsid w:val="003A6366"/>
    <w:rsid w:val="003B137A"/>
    <w:rsid w:val="003B2699"/>
    <w:rsid w:val="003B2D45"/>
    <w:rsid w:val="003B3A70"/>
    <w:rsid w:val="003B4858"/>
    <w:rsid w:val="003B6EEA"/>
    <w:rsid w:val="003B71FB"/>
    <w:rsid w:val="003B7432"/>
    <w:rsid w:val="003B7C76"/>
    <w:rsid w:val="003B7DDF"/>
    <w:rsid w:val="003C0474"/>
    <w:rsid w:val="003C2506"/>
    <w:rsid w:val="003C5B07"/>
    <w:rsid w:val="003C604F"/>
    <w:rsid w:val="003C7856"/>
    <w:rsid w:val="003D06B7"/>
    <w:rsid w:val="003D0FA8"/>
    <w:rsid w:val="003D167E"/>
    <w:rsid w:val="003D31FE"/>
    <w:rsid w:val="003D42C6"/>
    <w:rsid w:val="003D45EE"/>
    <w:rsid w:val="003D5863"/>
    <w:rsid w:val="003D738F"/>
    <w:rsid w:val="003E036D"/>
    <w:rsid w:val="003E1869"/>
    <w:rsid w:val="003E1C03"/>
    <w:rsid w:val="003E1CFD"/>
    <w:rsid w:val="003E362A"/>
    <w:rsid w:val="003E4664"/>
    <w:rsid w:val="003E4ECC"/>
    <w:rsid w:val="003F030A"/>
    <w:rsid w:val="003F2D50"/>
    <w:rsid w:val="003F2F2E"/>
    <w:rsid w:val="003F30CD"/>
    <w:rsid w:val="003F3229"/>
    <w:rsid w:val="003F34FD"/>
    <w:rsid w:val="004000AD"/>
    <w:rsid w:val="004058A3"/>
    <w:rsid w:val="004068E5"/>
    <w:rsid w:val="00406D14"/>
    <w:rsid w:val="004074B3"/>
    <w:rsid w:val="00410ED0"/>
    <w:rsid w:val="00412889"/>
    <w:rsid w:val="00413487"/>
    <w:rsid w:val="00414136"/>
    <w:rsid w:val="00414272"/>
    <w:rsid w:val="004164BA"/>
    <w:rsid w:val="004174F4"/>
    <w:rsid w:val="00420D62"/>
    <w:rsid w:val="00421E27"/>
    <w:rsid w:val="0042204F"/>
    <w:rsid w:val="00422E56"/>
    <w:rsid w:val="004233FA"/>
    <w:rsid w:val="00425235"/>
    <w:rsid w:val="0042585A"/>
    <w:rsid w:val="00425BCB"/>
    <w:rsid w:val="00425BF3"/>
    <w:rsid w:val="00427E92"/>
    <w:rsid w:val="00430103"/>
    <w:rsid w:val="00434B50"/>
    <w:rsid w:val="0043506E"/>
    <w:rsid w:val="004351CE"/>
    <w:rsid w:val="004364F4"/>
    <w:rsid w:val="004378E8"/>
    <w:rsid w:val="0044225E"/>
    <w:rsid w:val="00443E40"/>
    <w:rsid w:val="00444081"/>
    <w:rsid w:val="004460B1"/>
    <w:rsid w:val="0044649E"/>
    <w:rsid w:val="00446EAC"/>
    <w:rsid w:val="004475A1"/>
    <w:rsid w:val="00447F62"/>
    <w:rsid w:val="0045070C"/>
    <w:rsid w:val="0045178A"/>
    <w:rsid w:val="00455972"/>
    <w:rsid w:val="0045669A"/>
    <w:rsid w:val="00456A2A"/>
    <w:rsid w:val="00457584"/>
    <w:rsid w:val="00461ED4"/>
    <w:rsid w:val="00462BE8"/>
    <w:rsid w:val="00462C79"/>
    <w:rsid w:val="00462DB8"/>
    <w:rsid w:val="004632E7"/>
    <w:rsid w:val="00463847"/>
    <w:rsid w:val="00464538"/>
    <w:rsid w:val="00465A2E"/>
    <w:rsid w:val="00465BB6"/>
    <w:rsid w:val="00466985"/>
    <w:rsid w:val="00466F2A"/>
    <w:rsid w:val="00467452"/>
    <w:rsid w:val="00467A7D"/>
    <w:rsid w:val="0047006C"/>
    <w:rsid w:val="004727E6"/>
    <w:rsid w:val="004736FF"/>
    <w:rsid w:val="004745F0"/>
    <w:rsid w:val="00476FDC"/>
    <w:rsid w:val="004779E8"/>
    <w:rsid w:val="00482ACD"/>
    <w:rsid w:val="0048307B"/>
    <w:rsid w:val="00483563"/>
    <w:rsid w:val="00483E2D"/>
    <w:rsid w:val="004849C3"/>
    <w:rsid w:val="00485966"/>
    <w:rsid w:val="00485996"/>
    <w:rsid w:val="004920F5"/>
    <w:rsid w:val="00494A43"/>
    <w:rsid w:val="00494EB8"/>
    <w:rsid w:val="00495DC1"/>
    <w:rsid w:val="00496056"/>
    <w:rsid w:val="004962BF"/>
    <w:rsid w:val="00496BDA"/>
    <w:rsid w:val="004A06BC"/>
    <w:rsid w:val="004A09F2"/>
    <w:rsid w:val="004A2ECB"/>
    <w:rsid w:val="004B1E7E"/>
    <w:rsid w:val="004B1F54"/>
    <w:rsid w:val="004B2939"/>
    <w:rsid w:val="004B5787"/>
    <w:rsid w:val="004B5B8A"/>
    <w:rsid w:val="004B62FF"/>
    <w:rsid w:val="004B7370"/>
    <w:rsid w:val="004C124D"/>
    <w:rsid w:val="004C26FE"/>
    <w:rsid w:val="004C2EC9"/>
    <w:rsid w:val="004C4DC2"/>
    <w:rsid w:val="004C68AE"/>
    <w:rsid w:val="004C6C25"/>
    <w:rsid w:val="004D22EF"/>
    <w:rsid w:val="004D2782"/>
    <w:rsid w:val="004D331C"/>
    <w:rsid w:val="004D4533"/>
    <w:rsid w:val="004D4EE9"/>
    <w:rsid w:val="004D5523"/>
    <w:rsid w:val="004D638F"/>
    <w:rsid w:val="004D6A2C"/>
    <w:rsid w:val="004D6D8E"/>
    <w:rsid w:val="004E31FD"/>
    <w:rsid w:val="004E365E"/>
    <w:rsid w:val="004E37E4"/>
    <w:rsid w:val="004E38E5"/>
    <w:rsid w:val="004E5D29"/>
    <w:rsid w:val="004E5EF8"/>
    <w:rsid w:val="004E620C"/>
    <w:rsid w:val="004E6732"/>
    <w:rsid w:val="004E7021"/>
    <w:rsid w:val="004E7FB9"/>
    <w:rsid w:val="004F00DD"/>
    <w:rsid w:val="004F0B7E"/>
    <w:rsid w:val="004F242B"/>
    <w:rsid w:val="004F24AD"/>
    <w:rsid w:val="004F56F0"/>
    <w:rsid w:val="004F5727"/>
    <w:rsid w:val="004F713D"/>
    <w:rsid w:val="004F785E"/>
    <w:rsid w:val="004F7AAB"/>
    <w:rsid w:val="00501CF3"/>
    <w:rsid w:val="0050228B"/>
    <w:rsid w:val="00503AEF"/>
    <w:rsid w:val="0050475A"/>
    <w:rsid w:val="00507286"/>
    <w:rsid w:val="00507359"/>
    <w:rsid w:val="00514FDF"/>
    <w:rsid w:val="00515438"/>
    <w:rsid w:val="0051554E"/>
    <w:rsid w:val="00516F9E"/>
    <w:rsid w:val="00521794"/>
    <w:rsid w:val="005234AB"/>
    <w:rsid w:val="0052384D"/>
    <w:rsid w:val="00523A42"/>
    <w:rsid w:val="00523AF7"/>
    <w:rsid w:val="00523B87"/>
    <w:rsid w:val="00525968"/>
    <w:rsid w:val="00526956"/>
    <w:rsid w:val="00531CC4"/>
    <w:rsid w:val="005324CC"/>
    <w:rsid w:val="00534CCD"/>
    <w:rsid w:val="0053515D"/>
    <w:rsid w:val="005365E3"/>
    <w:rsid w:val="0053673A"/>
    <w:rsid w:val="00537EEC"/>
    <w:rsid w:val="00540F03"/>
    <w:rsid w:val="00541358"/>
    <w:rsid w:val="00543006"/>
    <w:rsid w:val="005440D7"/>
    <w:rsid w:val="00544CE1"/>
    <w:rsid w:val="00545922"/>
    <w:rsid w:val="00545EED"/>
    <w:rsid w:val="0054641E"/>
    <w:rsid w:val="005477B2"/>
    <w:rsid w:val="00550212"/>
    <w:rsid w:val="00550B4E"/>
    <w:rsid w:val="00553EAB"/>
    <w:rsid w:val="00554082"/>
    <w:rsid w:val="00554BD9"/>
    <w:rsid w:val="00555B85"/>
    <w:rsid w:val="00555BF9"/>
    <w:rsid w:val="00556AF7"/>
    <w:rsid w:val="0056011D"/>
    <w:rsid w:val="00560F37"/>
    <w:rsid w:val="00562FE0"/>
    <w:rsid w:val="005631CD"/>
    <w:rsid w:val="005645A0"/>
    <w:rsid w:val="0056481E"/>
    <w:rsid w:val="00564BB5"/>
    <w:rsid w:val="005669F0"/>
    <w:rsid w:val="00567802"/>
    <w:rsid w:val="00571891"/>
    <w:rsid w:val="00571E20"/>
    <w:rsid w:val="00573175"/>
    <w:rsid w:val="0057412C"/>
    <w:rsid w:val="00575338"/>
    <w:rsid w:val="0057671C"/>
    <w:rsid w:val="00576CCA"/>
    <w:rsid w:val="00576E9B"/>
    <w:rsid w:val="00577055"/>
    <w:rsid w:val="005802F9"/>
    <w:rsid w:val="00581326"/>
    <w:rsid w:val="00581F53"/>
    <w:rsid w:val="00582936"/>
    <w:rsid w:val="0058440A"/>
    <w:rsid w:val="00584CC3"/>
    <w:rsid w:val="00586063"/>
    <w:rsid w:val="00586B47"/>
    <w:rsid w:val="00586FBB"/>
    <w:rsid w:val="00587099"/>
    <w:rsid w:val="00587AF9"/>
    <w:rsid w:val="00590986"/>
    <w:rsid w:val="00591C7B"/>
    <w:rsid w:val="00592AA0"/>
    <w:rsid w:val="00595CA2"/>
    <w:rsid w:val="00596A7D"/>
    <w:rsid w:val="005A225D"/>
    <w:rsid w:val="005A3131"/>
    <w:rsid w:val="005A3746"/>
    <w:rsid w:val="005A4B2E"/>
    <w:rsid w:val="005A4E04"/>
    <w:rsid w:val="005B044F"/>
    <w:rsid w:val="005B323F"/>
    <w:rsid w:val="005B3FD4"/>
    <w:rsid w:val="005B439A"/>
    <w:rsid w:val="005B4510"/>
    <w:rsid w:val="005B4A91"/>
    <w:rsid w:val="005B500D"/>
    <w:rsid w:val="005B6BF5"/>
    <w:rsid w:val="005C25A5"/>
    <w:rsid w:val="005C3102"/>
    <w:rsid w:val="005C3383"/>
    <w:rsid w:val="005C38D6"/>
    <w:rsid w:val="005C4C4D"/>
    <w:rsid w:val="005C58DE"/>
    <w:rsid w:val="005C65B8"/>
    <w:rsid w:val="005C741F"/>
    <w:rsid w:val="005C7758"/>
    <w:rsid w:val="005D08E3"/>
    <w:rsid w:val="005D10FE"/>
    <w:rsid w:val="005D1613"/>
    <w:rsid w:val="005D1F9B"/>
    <w:rsid w:val="005D483C"/>
    <w:rsid w:val="005D5331"/>
    <w:rsid w:val="005D59C9"/>
    <w:rsid w:val="005D5F06"/>
    <w:rsid w:val="005D61AE"/>
    <w:rsid w:val="005D70A1"/>
    <w:rsid w:val="005D7D93"/>
    <w:rsid w:val="005E14C0"/>
    <w:rsid w:val="005E1C4D"/>
    <w:rsid w:val="005E2732"/>
    <w:rsid w:val="005E4719"/>
    <w:rsid w:val="005E5173"/>
    <w:rsid w:val="005E51F4"/>
    <w:rsid w:val="005E579F"/>
    <w:rsid w:val="005E69AF"/>
    <w:rsid w:val="005F2530"/>
    <w:rsid w:val="005F2858"/>
    <w:rsid w:val="005F4C1F"/>
    <w:rsid w:val="005F4F36"/>
    <w:rsid w:val="005F6043"/>
    <w:rsid w:val="00600CCF"/>
    <w:rsid w:val="006013EC"/>
    <w:rsid w:val="00601F64"/>
    <w:rsid w:val="006037C1"/>
    <w:rsid w:val="006049AD"/>
    <w:rsid w:val="0060565D"/>
    <w:rsid w:val="00606A64"/>
    <w:rsid w:val="00606C6D"/>
    <w:rsid w:val="0061029D"/>
    <w:rsid w:val="00611BDC"/>
    <w:rsid w:val="006122A4"/>
    <w:rsid w:val="006141FE"/>
    <w:rsid w:val="00615086"/>
    <w:rsid w:val="00615530"/>
    <w:rsid w:val="006161A3"/>
    <w:rsid w:val="006208B9"/>
    <w:rsid w:val="00622577"/>
    <w:rsid w:val="006236D0"/>
    <w:rsid w:val="0062415D"/>
    <w:rsid w:val="00624A10"/>
    <w:rsid w:val="00625657"/>
    <w:rsid w:val="00627282"/>
    <w:rsid w:val="00627C2F"/>
    <w:rsid w:val="006331D6"/>
    <w:rsid w:val="00633640"/>
    <w:rsid w:val="0063379D"/>
    <w:rsid w:val="006350B2"/>
    <w:rsid w:val="006356D6"/>
    <w:rsid w:val="006365B8"/>
    <w:rsid w:val="0063704E"/>
    <w:rsid w:val="006403FB"/>
    <w:rsid w:val="00641ED6"/>
    <w:rsid w:val="00641F76"/>
    <w:rsid w:val="006427DA"/>
    <w:rsid w:val="00642FC3"/>
    <w:rsid w:val="00644879"/>
    <w:rsid w:val="00644C6D"/>
    <w:rsid w:val="00646E4E"/>
    <w:rsid w:val="006502F8"/>
    <w:rsid w:val="006514E0"/>
    <w:rsid w:val="0065165C"/>
    <w:rsid w:val="006534AB"/>
    <w:rsid w:val="006535A4"/>
    <w:rsid w:val="00653CED"/>
    <w:rsid w:val="00654703"/>
    <w:rsid w:val="006563BC"/>
    <w:rsid w:val="006604FD"/>
    <w:rsid w:val="00662AA0"/>
    <w:rsid w:val="0066452D"/>
    <w:rsid w:val="00664B89"/>
    <w:rsid w:val="00665A9C"/>
    <w:rsid w:val="00665CA2"/>
    <w:rsid w:val="0066623E"/>
    <w:rsid w:val="00666B3C"/>
    <w:rsid w:val="00666D39"/>
    <w:rsid w:val="00666E61"/>
    <w:rsid w:val="00666F89"/>
    <w:rsid w:val="00670EF2"/>
    <w:rsid w:val="00671697"/>
    <w:rsid w:val="00671F44"/>
    <w:rsid w:val="00672BCB"/>
    <w:rsid w:val="0067365E"/>
    <w:rsid w:val="00673C1A"/>
    <w:rsid w:val="0067486B"/>
    <w:rsid w:val="00674EF9"/>
    <w:rsid w:val="00674F46"/>
    <w:rsid w:val="006752A3"/>
    <w:rsid w:val="00675555"/>
    <w:rsid w:val="00680885"/>
    <w:rsid w:val="00681061"/>
    <w:rsid w:val="00685A3C"/>
    <w:rsid w:val="00685E3F"/>
    <w:rsid w:val="00692C4A"/>
    <w:rsid w:val="00693699"/>
    <w:rsid w:val="00693CE1"/>
    <w:rsid w:val="006943C7"/>
    <w:rsid w:val="00695382"/>
    <w:rsid w:val="006A07D2"/>
    <w:rsid w:val="006A0A1F"/>
    <w:rsid w:val="006A0AB8"/>
    <w:rsid w:val="006A179F"/>
    <w:rsid w:val="006A44B7"/>
    <w:rsid w:val="006A6A73"/>
    <w:rsid w:val="006B2EED"/>
    <w:rsid w:val="006B5170"/>
    <w:rsid w:val="006B6341"/>
    <w:rsid w:val="006B6414"/>
    <w:rsid w:val="006B68D7"/>
    <w:rsid w:val="006C0F59"/>
    <w:rsid w:val="006C108C"/>
    <w:rsid w:val="006C1322"/>
    <w:rsid w:val="006D1139"/>
    <w:rsid w:val="006D2822"/>
    <w:rsid w:val="006D3487"/>
    <w:rsid w:val="006D3F07"/>
    <w:rsid w:val="006D4C97"/>
    <w:rsid w:val="006D5694"/>
    <w:rsid w:val="006D6E2F"/>
    <w:rsid w:val="006E09B4"/>
    <w:rsid w:val="006E0A20"/>
    <w:rsid w:val="006E184F"/>
    <w:rsid w:val="006E1E28"/>
    <w:rsid w:val="006E2EA4"/>
    <w:rsid w:val="006E3375"/>
    <w:rsid w:val="006E3B2D"/>
    <w:rsid w:val="006E45BA"/>
    <w:rsid w:val="006E51AC"/>
    <w:rsid w:val="006E59B9"/>
    <w:rsid w:val="006E6126"/>
    <w:rsid w:val="006E6884"/>
    <w:rsid w:val="006E6B17"/>
    <w:rsid w:val="006E7080"/>
    <w:rsid w:val="006E719F"/>
    <w:rsid w:val="006F2E77"/>
    <w:rsid w:val="006F3CD1"/>
    <w:rsid w:val="006F4D1C"/>
    <w:rsid w:val="006F54E1"/>
    <w:rsid w:val="006F612D"/>
    <w:rsid w:val="00702EA0"/>
    <w:rsid w:val="0070394F"/>
    <w:rsid w:val="00703CAA"/>
    <w:rsid w:val="007060DC"/>
    <w:rsid w:val="00706F64"/>
    <w:rsid w:val="00710850"/>
    <w:rsid w:val="00711520"/>
    <w:rsid w:val="00711BFB"/>
    <w:rsid w:val="00713D16"/>
    <w:rsid w:val="007147E3"/>
    <w:rsid w:val="00716B5A"/>
    <w:rsid w:val="00717283"/>
    <w:rsid w:val="007179D9"/>
    <w:rsid w:val="00720C5B"/>
    <w:rsid w:val="00720DE4"/>
    <w:rsid w:val="00721061"/>
    <w:rsid w:val="0072107A"/>
    <w:rsid w:val="0072276D"/>
    <w:rsid w:val="007228BD"/>
    <w:rsid w:val="00725387"/>
    <w:rsid w:val="0072590E"/>
    <w:rsid w:val="00727135"/>
    <w:rsid w:val="00731978"/>
    <w:rsid w:val="00732C71"/>
    <w:rsid w:val="00735EAF"/>
    <w:rsid w:val="007402BD"/>
    <w:rsid w:val="00741DE2"/>
    <w:rsid w:val="00745BCD"/>
    <w:rsid w:val="00747A76"/>
    <w:rsid w:val="0075048A"/>
    <w:rsid w:val="007509EA"/>
    <w:rsid w:val="0075124D"/>
    <w:rsid w:val="007512AA"/>
    <w:rsid w:val="007515B8"/>
    <w:rsid w:val="007574DB"/>
    <w:rsid w:val="0076029C"/>
    <w:rsid w:val="00761DD1"/>
    <w:rsid w:val="00762A02"/>
    <w:rsid w:val="00763E8A"/>
    <w:rsid w:val="00764385"/>
    <w:rsid w:val="007653E3"/>
    <w:rsid w:val="00766595"/>
    <w:rsid w:val="00770A10"/>
    <w:rsid w:val="00773AA4"/>
    <w:rsid w:val="0077609C"/>
    <w:rsid w:val="00776379"/>
    <w:rsid w:val="00776606"/>
    <w:rsid w:val="00776B8E"/>
    <w:rsid w:val="00777A70"/>
    <w:rsid w:val="00780970"/>
    <w:rsid w:val="007814BE"/>
    <w:rsid w:val="00781A0A"/>
    <w:rsid w:val="00781FE8"/>
    <w:rsid w:val="0078334E"/>
    <w:rsid w:val="00784C1E"/>
    <w:rsid w:val="00784FEA"/>
    <w:rsid w:val="00786A27"/>
    <w:rsid w:val="00790807"/>
    <w:rsid w:val="00793307"/>
    <w:rsid w:val="0079421D"/>
    <w:rsid w:val="00794D14"/>
    <w:rsid w:val="00794E41"/>
    <w:rsid w:val="00795AF8"/>
    <w:rsid w:val="00796917"/>
    <w:rsid w:val="00796CA6"/>
    <w:rsid w:val="00797FAF"/>
    <w:rsid w:val="007A4D72"/>
    <w:rsid w:val="007A4EC2"/>
    <w:rsid w:val="007A52A6"/>
    <w:rsid w:val="007A5536"/>
    <w:rsid w:val="007A700D"/>
    <w:rsid w:val="007B0AAB"/>
    <w:rsid w:val="007B2945"/>
    <w:rsid w:val="007B2B7F"/>
    <w:rsid w:val="007B3800"/>
    <w:rsid w:val="007B6E3B"/>
    <w:rsid w:val="007B6EB3"/>
    <w:rsid w:val="007C1336"/>
    <w:rsid w:val="007C1706"/>
    <w:rsid w:val="007C251E"/>
    <w:rsid w:val="007C3826"/>
    <w:rsid w:val="007D0073"/>
    <w:rsid w:val="007D0557"/>
    <w:rsid w:val="007D10D9"/>
    <w:rsid w:val="007D1FD4"/>
    <w:rsid w:val="007D2BCB"/>
    <w:rsid w:val="007D3977"/>
    <w:rsid w:val="007D3B60"/>
    <w:rsid w:val="007D3C96"/>
    <w:rsid w:val="007D5704"/>
    <w:rsid w:val="007D58B5"/>
    <w:rsid w:val="007E2732"/>
    <w:rsid w:val="007E5AC8"/>
    <w:rsid w:val="007E5DF6"/>
    <w:rsid w:val="007E6FD5"/>
    <w:rsid w:val="007E7EF5"/>
    <w:rsid w:val="007F0530"/>
    <w:rsid w:val="007F1642"/>
    <w:rsid w:val="007F2091"/>
    <w:rsid w:val="007F246F"/>
    <w:rsid w:val="007F2558"/>
    <w:rsid w:val="007F45A3"/>
    <w:rsid w:val="007F4E9C"/>
    <w:rsid w:val="007F6AEB"/>
    <w:rsid w:val="007F7BC3"/>
    <w:rsid w:val="00801820"/>
    <w:rsid w:val="008034D9"/>
    <w:rsid w:val="008066A0"/>
    <w:rsid w:val="00807F77"/>
    <w:rsid w:val="008100BD"/>
    <w:rsid w:val="008111F4"/>
    <w:rsid w:val="00811D16"/>
    <w:rsid w:val="008134AF"/>
    <w:rsid w:val="008153BA"/>
    <w:rsid w:val="008168BD"/>
    <w:rsid w:val="00816D23"/>
    <w:rsid w:val="00820CED"/>
    <w:rsid w:val="008221E9"/>
    <w:rsid w:val="00825A4A"/>
    <w:rsid w:val="00830181"/>
    <w:rsid w:val="00833B8E"/>
    <w:rsid w:val="0083476C"/>
    <w:rsid w:val="00834C0C"/>
    <w:rsid w:val="00835F59"/>
    <w:rsid w:val="008368B6"/>
    <w:rsid w:val="00836AFD"/>
    <w:rsid w:val="00840304"/>
    <w:rsid w:val="00841FDF"/>
    <w:rsid w:val="008438E1"/>
    <w:rsid w:val="00843C47"/>
    <w:rsid w:val="00843DAC"/>
    <w:rsid w:val="00845303"/>
    <w:rsid w:val="00845795"/>
    <w:rsid w:val="00847575"/>
    <w:rsid w:val="008512F2"/>
    <w:rsid w:val="008522A7"/>
    <w:rsid w:val="00854BB4"/>
    <w:rsid w:val="0085729A"/>
    <w:rsid w:val="00861CF1"/>
    <w:rsid w:val="0086240C"/>
    <w:rsid w:val="00863AFB"/>
    <w:rsid w:val="008641A4"/>
    <w:rsid w:val="0086485E"/>
    <w:rsid w:val="00864A3C"/>
    <w:rsid w:val="008663D0"/>
    <w:rsid w:val="008678FE"/>
    <w:rsid w:val="00867AA8"/>
    <w:rsid w:val="008711ED"/>
    <w:rsid w:val="008715B9"/>
    <w:rsid w:val="00871EEA"/>
    <w:rsid w:val="0087233A"/>
    <w:rsid w:val="00872867"/>
    <w:rsid w:val="0087299E"/>
    <w:rsid w:val="00872EEF"/>
    <w:rsid w:val="00874E3A"/>
    <w:rsid w:val="008760AD"/>
    <w:rsid w:val="008761E0"/>
    <w:rsid w:val="008777FC"/>
    <w:rsid w:val="008802CA"/>
    <w:rsid w:val="0088152A"/>
    <w:rsid w:val="0088403C"/>
    <w:rsid w:val="008842C1"/>
    <w:rsid w:val="00884536"/>
    <w:rsid w:val="00884C29"/>
    <w:rsid w:val="00885C92"/>
    <w:rsid w:val="00891850"/>
    <w:rsid w:val="00892D27"/>
    <w:rsid w:val="0089302E"/>
    <w:rsid w:val="008938F1"/>
    <w:rsid w:val="008939D5"/>
    <w:rsid w:val="008943E6"/>
    <w:rsid w:val="00895A0F"/>
    <w:rsid w:val="00897F62"/>
    <w:rsid w:val="008A0FE7"/>
    <w:rsid w:val="008A1877"/>
    <w:rsid w:val="008A3612"/>
    <w:rsid w:val="008A3C53"/>
    <w:rsid w:val="008A3E58"/>
    <w:rsid w:val="008A4B16"/>
    <w:rsid w:val="008A5891"/>
    <w:rsid w:val="008A5E6B"/>
    <w:rsid w:val="008A6370"/>
    <w:rsid w:val="008A64E7"/>
    <w:rsid w:val="008B137E"/>
    <w:rsid w:val="008B1508"/>
    <w:rsid w:val="008B1C7B"/>
    <w:rsid w:val="008B1DB0"/>
    <w:rsid w:val="008B36BF"/>
    <w:rsid w:val="008B3EDD"/>
    <w:rsid w:val="008B44EA"/>
    <w:rsid w:val="008B5357"/>
    <w:rsid w:val="008B5CE9"/>
    <w:rsid w:val="008B638E"/>
    <w:rsid w:val="008B75E1"/>
    <w:rsid w:val="008B7761"/>
    <w:rsid w:val="008C06AD"/>
    <w:rsid w:val="008C0957"/>
    <w:rsid w:val="008C096E"/>
    <w:rsid w:val="008C195C"/>
    <w:rsid w:val="008C559B"/>
    <w:rsid w:val="008C615A"/>
    <w:rsid w:val="008D07A9"/>
    <w:rsid w:val="008D1A9C"/>
    <w:rsid w:val="008D1B49"/>
    <w:rsid w:val="008D3A20"/>
    <w:rsid w:val="008D4BB8"/>
    <w:rsid w:val="008D662E"/>
    <w:rsid w:val="008D6D4C"/>
    <w:rsid w:val="008E2D7B"/>
    <w:rsid w:val="008E3477"/>
    <w:rsid w:val="008E635E"/>
    <w:rsid w:val="008E78D4"/>
    <w:rsid w:val="008E7EE9"/>
    <w:rsid w:val="008E7FA7"/>
    <w:rsid w:val="008F19C7"/>
    <w:rsid w:val="008F2267"/>
    <w:rsid w:val="008F2AFD"/>
    <w:rsid w:val="008F34ED"/>
    <w:rsid w:val="008F37E0"/>
    <w:rsid w:val="008F79FB"/>
    <w:rsid w:val="008F7A10"/>
    <w:rsid w:val="009008B7"/>
    <w:rsid w:val="00904BBE"/>
    <w:rsid w:val="00904D7A"/>
    <w:rsid w:val="00906207"/>
    <w:rsid w:val="0090680A"/>
    <w:rsid w:val="009111A1"/>
    <w:rsid w:val="009116C0"/>
    <w:rsid w:val="00913206"/>
    <w:rsid w:val="0091410D"/>
    <w:rsid w:val="009157C5"/>
    <w:rsid w:val="009201E6"/>
    <w:rsid w:val="00920890"/>
    <w:rsid w:val="00921072"/>
    <w:rsid w:val="009218AB"/>
    <w:rsid w:val="009224DD"/>
    <w:rsid w:val="00922A64"/>
    <w:rsid w:val="00923C81"/>
    <w:rsid w:val="00924C30"/>
    <w:rsid w:val="009257F4"/>
    <w:rsid w:val="00925E93"/>
    <w:rsid w:val="00926313"/>
    <w:rsid w:val="00926331"/>
    <w:rsid w:val="009274F6"/>
    <w:rsid w:val="00927919"/>
    <w:rsid w:val="00927E62"/>
    <w:rsid w:val="00931A03"/>
    <w:rsid w:val="0093278A"/>
    <w:rsid w:val="0093336C"/>
    <w:rsid w:val="0093467C"/>
    <w:rsid w:val="009351D7"/>
    <w:rsid w:val="00940152"/>
    <w:rsid w:val="00940FBB"/>
    <w:rsid w:val="0094407A"/>
    <w:rsid w:val="00944472"/>
    <w:rsid w:val="0094514D"/>
    <w:rsid w:val="00945E12"/>
    <w:rsid w:val="0094627A"/>
    <w:rsid w:val="00946815"/>
    <w:rsid w:val="00947BB7"/>
    <w:rsid w:val="00947F00"/>
    <w:rsid w:val="00950CD7"/>
    <w:rsid w:val="0095223E"/>
    <w:rsid w:val="00953C6A"/>
    <w:rsid w:val="009544DD"/>
    <w:rsid w:val="00960147"/>
    <w:rsid w:val="00961610"/>
    <w:rsid w:val="009624FE"/>
    <w:rsid w:val="00963799"/>
    <w:rsid w:val="00965ACE"/>
    <w:rsid w:val="00966BC5"/>
    <w:rsid w:val="00966D2F"/>
    <w:rsid w:val="00967180"/>
    <w:rsid w:val="009671CD"/>
    <w:rsid w:val="009714AF"/>
    <w:rsid w:val="009721B3"/>
    <w:rsid w:val="00973556"/>
    <w:rsid w:val="009739F7"/>
    <w:rsid w:val="009770A3"/>
    <w:rsid w:val="00980BB6"/>
    <w:rsid w:val="00981CB8"/>
    <w:rsid w:val="00983800"/>
    <w:rsid w:val="00985330"/>
    <w:rsid w:val="009858EA"/>
    <w:rsid w:val="00992310"/>
    <w:rsid w:val="0099268C"/>
    <w:rsid w:val="00992C9B"/>
    <w:rsid w:val="00993AD4"/>
    <w:rsid w:val="00996E3A"/>
    <w:rsid w:val="0099728C"/>
    <w:rsid w:val="009A14E3"/>
    <w:rsid w:val="009A320C"/>
    <w:rsid w:val="009A3279"/>
    <w:rsid w:val="009A38D9"/>
    <w:rsid w:val="009A3B3D"/>
    <w:rsid w:val="009A5B6A"/>
    <w:rsid w:val="009A6CFA"/>
    <w:rsid w:val="009A6EA7"/>
    <w:rsid w:val="009A6F55"/>
    <w:rsid w:val="009A7CE2"/>
    <w:rsid w:val="009A7F5E"/>
    <w:rsid w:val="009B46ED"/>
    <w:rsid w:val="009B5673"/>
    <w:rsid w:val="009B5C4A"/>
    <w:rsid w:val="009C06BE"/>
    <w:rsid w:val="009C085A"/>
    <w:rsid w:val="009C0BB4"/>
    <w:rsid w:val="009C106D"/>
    <w:rsid w:val="009C25F6"/>
    <w:rsid w:val="009C52F1"/>
    <w:rsid w:val="009C5AF7"/>
    <w:rsid w:val="009D0D0B"/>
    <w:rsid w:val="009D1A03"/>
    <w:rsid w:val="009D2C7F"/>
    <w:rsid w:val="009D4A4B"/>
    <w:rsid w:val="009D5F1F"/>
    <w:rsid w:val="009D655A"/>
    <w:rsid w:val="009D73CE"/>
    <w:rsid w:val="009D7642"/>
    <w:rsid w:val="009D7A2C"/>
    <w:rsid w:val="009E234B"/>
    <w:rsid w:val="009E676C"/>
    <w:rsid w:val="009E69BE"/>
    <w:rsid w:val="009E6EA7"/>
    <w:rsid w:val="009F0F07"/>
    <w:rsid w:val="009F5230"/>
    <w:rsid w:val="009F647B"/>
    <w:rsid w:val="00A008DE"/>
    <w:rsid w:val="00A02620"/>
    <w:rsid w:val="00A109F1"/>
    <w:rsid w:val="00A11F1D"/>
    <w:rsid w:val="00A120F1"/>
    <w:rsid w:val="00A12180"/>
    <w:rsid w:val="00A12626"/>
    <w:rsid w:val="00A13CB9"/>
    <w:rsid w:val="00A147CC"/>
    <w:rsid w:val="00A14C4F"/>
    <w:rsid w:val="00A166FA"/>
    <w:rsid w:val="00A169B4"/>
    <w:rsid w:val="00A16CDE"/>
    <w:rsid w:val="00A16D1D"/>
    <w:rsid w:val="00A203D4"/>
    <w:rsid w:val="00A21549"/>
    <w:rsid w:val="00A2221A"/>
    <w:rsid w:val="00A23580"/>
    <w:rsid w:val="00A23E88"/>
    <w:rsid w:val="00A250FD"/>
    <w:rsid w:val="00A258D4"/>
    <w:rsid w:val="00A25F67"/>
    <w:rsid w:val="00A27E20"/>
    <w:rsid w:val="00A304FB"/>
    <w:rsid w:val="00A30610"/>
    <w:rsid w:val="00A339EE"/>
    <w:rsid w:val="00A33AA3"/>
    <w:rsid w:val="00A33CD3"/>
    <w:rsid w:val="00A35271"/>
    <w:rsid w:val="00A40542"/>
    <w:rsid w:val="00A41926"/>
    <w:rsid w:val="00A41D3B"/>
    <w:rsid w:val="00A4210C"/>
    <w:rsid w:val="00A42171"/>
    <w:rsid w:val="00A426FA"/>
    <w:rsid w:val="00A42EEA"/>
    <w:rsid w:val="00A4426A"/>
    <w:rsid w:val="00A44715"/>
    <w:rsid w:val="00A4478D"/>
    <w:rsid w:val="00A45705"/>
    <w:rsid w:val="00A45ADB"/>
    <w:rsid w:val="00A45B00"/>
    <w:rsid w:val="00A4791E"/>
    <w:rsid w:val="00A52BCD"/>
    <w:rsid w:val="00A54392"/>
    <w:rsid w:val="00A54D42"/>
    <w:rsid w:val="00A54E77"/>
    <w:rsid w:val="00A555CE"/>
    <w:rsid w:val="00A556E2"/>
    <w:rsid w:val="00A55D98"/>
    <w:rsid w:val="00A567F8"/>
    <w:rsid w:val="00A56E64"/>
    <w:rsid w:val="00A5737D"/>
    <w:rsid w:val="00A57F4C"/>
    <w:rsid w:val="00A60DD4"/>
    <w:rsid w:val="00A620CB"/>
    <w:rsid w:val="00A621BC"/>
    <w:rsid w:val="00A63138"/>
    <w:rsid w:val="00A644F0"/>
    <w:rsid w:val="00A664E9"/>
    <w:rsid w:val="00A6726F"/>
    <w:rsid w:val="00A676B4"/>
    <w:rsid w:val="00A6779B"/>
    <w:rsid w:val="00A703DD"/>
    <w:rsid w:val="00A74DFA"/>
    <w:rsid w:val="00A8454F"/>
    <w:rsid w:val="00A856A5"/>
    <w:rsid w:val="00A8687B"/>
    <w:rsid w:val="00A87247"/>
    <w:rsid w:val="00A87B9E"/>
    <w:rsid w:val="00A903D2"/>
    <w:rsid w:val="00A90D49"/>
    <w:rsid w:val="00A926C0"/>
    <w:rsid w:val="00A929E0"/>
    <w:rsid w:val="00A93166"/>
    <w:rsid w:val="00A93175"/>
    <w:rsid w:val="00A9362B"/>
    <w:rsid w:val="00A93CC5"/>
    <w:rsid w:val="00A959F9"/>
    <w:rsid w:val="00A96A9D"/>
    <w:rsid w:val="00A96EB4"/>
    <w:rsid w:val="00AA0ECD"/>
    <w:rsid w:val="00AA11B8"/>
    <w:rsid w:val="00AA344A"/>
    <w:rsid w:val="00AA3610"/>
    <w:rsid w:val="00AA79B1"/>
    <w:rsid w:val="00AB01C6"/>
    <w:rsid w:val="00AB1358"/>
    <w:rsid w:val="00AB1446"/>
    <w:rsid w:val="00AB2030"/>
    <w:rsid w:val="00AB2A58"/>
    <w:rsid w:val="00AB3F22"/>
    <w:rsid w:val="00AB4EFB"/>
    <w:rsid w:val="00AB629D"/>
    <w:rsid w:val="00AB6AE9"/>
    <w:rsid w:val="00AB788A"/>
    <w:rsid w:val="00AC0225"/>
    <w:rsid w:val="00AC03F7"/>
    <w:rsid w:val="00AC119A"/>
    <w:rsid w:val="00AC26B5"/>
    <w:rsid w:val="00AC4605"/>
    <w:rsid w:val="00AC582C"/>
    <w:rsid w:val="00AC5A8C"/>
    <w:rsid w:val="00AD0827"/>
    <w:rsid w:val="00AD2687"/>
    <w:rsid w:val="00AD4529"/>
    <w:rsid w:val="00AD5C9D"/>
    <w:rsid w:val="00AD773D"/>
    <w:rsid w:val="00AE13B9"/>
    <w:rsid w:val="00AE20AE"/>
    <w:rsid w:val="00AE26E6"/>
    <w:rsid w:val="00AE2FAC"/>
    <w:rsid w:val="00AE3485"/>
    <w:rsid w:val="00AE389D"/>
    <w:rsid w:val="00AE47C5"/>
    <w:rsid w:val="00AE4D6F"/>
    <w:rsid w:val="00AE500F"/>
    <w:rsid w:val="00AE5259"/>
    <w:rsid w:val="00AE5E84"/>
    <w:rsid w:val="00AE64FF"/>
    <w:rsid w:val="00AF03EC"/>
    <w:rsid w:val="00AF17BE"/>
    <w:rsid w:val="00AF5B8E"/>
    <w:rsid w:val="00AF7802"/>
    <w:rsid w:val="00B0147C"/>
    <w:rsid w:val="00B01D8B"/>
    <w:rsid w:val="00B021F0"/>
    <w:rsid w:val="00B02C5D"/>
    <w:rsid w:val="00B058C3"/>
    <w:rsid w:val="00B05BD3"/>
    <w:rsid w:val="00B07703"/>
    <w:rsid w:val="00B12D1A"/>
    <w:rsid w:val="00B13073"/>
    <w:rsid w:val="00B1368F"/>
    <w:rsid w:val="00B218B9"/>
    <w:rsid w:val="00B24DCA"/>
    <w:rsid w:val="00B25A84"/>
    <w:rsid w:val="00B26B08"/>
    <w:rsid w:val="00B30116"/>
    <w:rsid w:val="00B31B78"/>
    <w:rsid w:val="00B339A3"/>
    <w:rsid w:val="00B37A7D"/>
    <w:rsid w:val="00B37BFC"/>
    <w:rsid w:val="00B4142F"/>
    <w:rsid w:val="00B42861"/>
    <w:rsid w:val="00B4519F"/>
    <w:rsid w:val="00B45266"/>
    <w:rsid w:val="00B45B34"/>
    <w:rsid w:val="00B45FBF"/>
    <w:rsid w:val="00B462ED"/>
    <w:rsid w:val="00B50869"/>
    <w:rsid w:val="00B51247"/>
    <w:rsid w:val="00B530DE"/>
    <w:rsid w:val="00B5364F"/>
    <w:rsid w:val="00B54E25"/>
    <w:rsid w:val="00B6039E"/>
    <w:rsid w:val="00B60493"/>
    <w:rsid w:val="00B620B0"/>
    <w:rsid w:val="00B63229"/>
    <w:rsid w:val="00B63B2D"/>
    <w:rsid w:val="00B661E7"/>
    <w:rsid w:val="00B66254"/>
    <w:rsid w:val="00B75130"/>
    <w:rsid w:val="00B75B57"/>
    <w:rsid w:val="00B775E9"/>
    <w:rsid w:val="00B81957"/>
    <w:rsid w:val="00B81CAF"/>
    <w:rsid w:val="00B850E7"/>
    <w:rsid w:val="00B866BB"/>
    <w:rsid w:val="00B87D0F"/>
    <w:rsid w:val="00B93456"/>
    <w:rsid w:val="00B969D4"/>
    <w:rsid w:val="00BA034A"/>
    <w:rsid w:val="00BA1721"/>
    <w:rsid w:val="00BA2143"/>
    <w:rsid w:val="00BA417D"/>
    <w:rsid w:val="00BB17AE"/>
    <w:rsid w:val="00BB1BFA"/>
    <w:rsid w:val="00BB1C30"/>
    <w:rsid w:val="00BB2538"/>
    <w:rsid w:val="00BB3CEF"/>
    <w:rsid w:val="00BB457F"/>
    <w:rsid w:val="00BB4C54"/>
    <w:rsid w:val="00BB6C8C"/>
    <w:rsid w:val="00BC21B5"/>
    <w:rsid w:val="00BC2948"/>
    <w:rsid w:val="00BC61CF"/>
    <w:rsid w:val="00BD2B9A"/>
    <w:rsid w:val="00BD5C64"/>
    <w:rsid w:val="00BD7B07"/>
    <w:rsid w:val="00BE079A"/>
    <w:rsid w:val="00BE21D3"/>
    <w:rsid w:val="00BE3A34"/>
    <w:rsid w:val="00BE5D6A"/>
    <w:rsid w:val="00BE60AB"/>
    <w:rsid w:val="00BE60DA"/>
    <w:rsid w:val="00BE7061"/>
    <w:rsid w:val="00BE713A"/>
    <w:rsid w:val="00BE7209"/>
    <w:rsid w:val="00BE78C0"/>
    <w:rsid w:val="00BF07EC"/>
    <w:rsid w:val="00BF2F81"/>
    <w:rsid w:val="00BF53C1"/>
    <w:rsid w:val="00BF5C39"/>
    <w:rsid w:val="00BF7546"/>
    <w:rsid w:val="00BF7BC6"/>
    <w:rsid w:val="00C01750"/>
    <w:rsid w:val="00C02E7A"/>
    <w:rsid w:val="00C03BE2"/>
    <w:rsid w:val="00C04CE8"/>
    <w:rsid w:val="00C05E19"/>
    <w:rsid w:val="00C07744"/>
    <w:rsid w:val="00C1037F"/>
    <w:rsid w:val="00C11804"/>
    <w:rsid w:val="00C11AB6"/>
    <w:rsid w:val="00C14EBB"/>
    <w:rsid w:val="00C163AE"/>
    <w:rsid w:val="00C201E7"/>
    <w:rsid w:val="00C202A5"/>
    <w:rsid w:val="00C22A98"/>
    <w:rsid w:val="00C26F1D"/>
    <w:rsid w:val="00C32A18"/>
    <w:rsid w:val="00C34D7C"/>
    <w:rsid w:val="00C3558A"/>
    <w:rsid w:val="00C35ABC"/>
    <w:rsid w:val="00C35FB5"/>
    <w:rsid w:val="00C36AD0"/>
    <w:rsid w:val="00C421EA"/>
    <w:rsid w:val="00C4455A"/>
    <w:rsid w:val="00C447AD"/>
    <w:rsid w:val="00C44EF4"/>
    <w:rsid w:val="00C5184C"/>
    <w:rsid w:val="00C52262"/>
    <w:rsid w:val="00C5231C"/>
    <w:rsid w:val="00C5270C"/>
    <w:rsid w:val="00C5295E"/>
    <w:rsid w:val="00C53832"/>
    <w:rsid w:val="00C5395F"/>
    <w:rsid w:val="00C55582"/>
    <w:rsid w:val="00C56077"/>
    <w:rsid w:val="00C57AD7"/>
    <w:rsid w:val="00C57FEF"/>
    <w:rsid w:val="00C60DCA"/>
    <w:rsid w:val="00C61D65"/>
    <w:rsid w:val="00C62F1A"/>
    <w:rsid w:val="00C66DCD"/>
    <w:rsid w:val="00C66FF7"/>
    <w:rsid w:val="00C70FB0"/>
    <w:rsid w:val="00C72CB2"/>
    <w:rsid w:val="00C730FD"/>
    <w:rsid w:val="00C74942"/>
    <w:rsid w:val="00C77565"/>
    <w:rsid w:val="00C77A10"/>
    <w:rsid w:val="00C80CAE"/>
    <w:rsid w:val="00C810A5"/>
    <w:rsid w:val="00C81495"/>
    <w:rsid w:val="00C81776"/>
    <w:rsid w:val="00C85854"/>
    <w:rsid w:val="00C86CE8"/>
    <w:rsid w:val="00C87F72"/>
    <w:rsid w:val="00C903F4"/>
    <w:rsid w:val="00C909A3"/>
    <w:rsid w:val="00C90B87"/>
    <w:rsid w:val="00C92000"/>
    <w:rsid w:val="00C92F97"/>
    <w:rsid w:val="00C93961"/>
    <w:rsid w:val="00C93ECD"/>
    <w:rsid w:val="00C9438A"/>
    <w:rsid w:val="00C94B29"/>
    <w:rsid w:val="00C95580"/>
    <w:rsid w:val="00CA2082"/>
    <w:rsid w:val="00CA2929"/>
    <w:rsid w:val="00CA2F60"/>
    <w:rsid w:val="00CA3167"/>
    <w:rsid w:val="00CA3356"/>
    <w:rsid w:val="00CA399D"/>
    <w:rsid w:val="00CA3EC2"/>
    <w:rsid w:val="00CB0C2F"/>
    <w:rsid w:val="00CB1914"/>
    <w:rsid w:val="00CB315D"/>
    <w:rsid w:val="00CB37D7"/>
    <w:rsid w:val="00CB3DE7"/>
    <w:rsid w:val="00CB4994"/>
    <w:rsid w:val="00CB6C1E"/>
    <w:rsid w:val="00CB73F9"/>
    <w:rsid w:val="00CC06B1"/>
    <w:rsid w:val="00CC0DA9"/>
    <w:rsid w:val="00CC12F8"/>
    <w:rsid w:val="00CC3295"/>
    <w:rsid w:val="00CC3783"/>
    <w:rsid w:val="00CC44A1"/>
    <w:rsid w:val="00CC70A8"/>
    <w:rsid w:val="00CC775B"/>
    <w:rsid w:val="00CC793E"/>
    <w:rsid w:val="00CD0DB5"/>
    <w:rsid w:val="00CD1018"/>
    <w:rsid w:val="00CD13E7"/>
    <w:rsid w:val="00CD1474"/>
    <w:rsid w:val="00CD1AAF"/>
    <w:rsid w:val="00CD315E"/>
    <w:rsid w:val="00CD410C"/>
    <w:rsid w:val="00CD54E0"/>
    <w:rsid w:val="00CD648B"/>
    <w:rsid w:val="00CD6A55"/>
    <w:rsid w:val="00CE0E20"/>
    <w:rsid w:val="00CE2BD8"/>
    <w:rsid w:val="00CE3EFC"/>
    <w:rsid w:val="00CF0992"/>
    <w:rsid w:val="00CF1196"/>
    <w:rsid w:val="00CF1F21"/>
    <w:rsid w:val="00CF5514"/>
    <w:rsid w:val="00CF5978"/>
    <w:rsid w:val="00CF7547"/>
    <w:rsid w:val="00D004AF"/>
    <w:rsid w:val="00D0077F"/>
    <w:rsid w:val="00D00A12"/>
    <w:rsid w:val="00D00C6D"/>
    <w:rsid w:val="00D03A41"/>
    <w:rsid w:val="00D040BF"/>
    <w:rsid w:val="00D0472E"/>
    <w:rsid w:val="00D04B64"/>
    <w:rsid w:val="00D05AEE"/>
    <w:rsid w:val="00D05C50"/>
    <w:rsid w:val="00D14230"/>
    <w:rsid w:val="00D1514C"/>
    <w:rsid w:val="00D16F12"/>
    <w:rsid w:val="00D1782B"/>
    <w:rsid w:val="00D17C29"/>
    <w:rsid w:val="00D17D9F"/>
    <w:rsid w:val="00D201E4"/>
    <w:rsid w:val="00D206E0"/>
    <w:rsid w:val="00D241AC"/>
    <w:rsid w:val="00D247F4"/>
    <w:rsid w:val="00D25CC0"/>
    <w:rsid w:val="00D300DB"/>
    <w:rsid w:val="00D3044E"/>
    <w:rsid w:val="00D31568"/>
    <w:rsid w:val="00D3257A"/>
    <w:rsid w:val="00D34F26"/>
    <w:rsid w:val="00D36B1D"/>
    <w:rsid w:val="00D370BA"/>
    <w:rsid w:val="00D40EFA"/>
    <w:rsid w:val="00D41160"/>
    <w:rsid w:val="00D411B5"/>
    <w:rsid w:val="00D41D84"/>
    <w:rsid w:val="00D41FC0"/>
    <w:rsid w:val="00D41FD9"/>
    <w:rsid w:val="00D43115"/>
    <w:rsid w:val="00D4361C"/>
    <w:rsid w:val="00D439B4"/>
    <w:rsid w:val="00D43BD6"/>
    <w:rsid w:val="00D43E73"/>
    <w:rsid w:val="00D44022"/>
    <w:rsid w:val="00D462EC"/>
    <w:rsid w:val="00D475C0"/>
    <w:rsid w:val="00D477A7"/>
    <w:rsid w:val="00D47888"/>
    <w:rsid w:val="00D5016F"/>
    <w:rsid w:val="00D5057A"/>
    <w:rsid w:val="00D50BEA"/>
    <w:rsid w:val="00D515FB"/>
    <w:rsid w:val="00D51AE9"/>
    <w:rsid w:val="00D529B5"/>
    <w:rsid w:val="00D53245"/>
    <w:rsid w:val="00D537F5"/>
    <w:rsid w:val="00D5436F"/>
    <w:rsid w:val="00D568C8"/>
    <w:rsid w:val="00D56D49"/>
    <w:rsid w:val="00D571B7"/>
    <w:rsid w:val="00D57797"/>
    <w:rsid w:val="00D61C2B"/>
    <w:rsid w:val="00D62E5B"/>
    <w:rsid w:val="00D62ECF"/>
    <w:rsid w:val="00D63647"/>
    <w:rsid w:val="00D644A2"/>
    <w:rsid w:val="00D66985"/>
    <w:rsid w:val="00D67859"/>
    <w:rsid w:val="00D7014C"/>
    <w:rsid w:val="00D70819"/>
    <w:rsid w:val="00D7412E"/>
    <w:rsid w:val="00D75148"/>
    <w:rsid w:val="00D75751"/>
    <w:rsid w:val="00D76FDB"/>
    <w:rsid w:val="00D77562"/>
    <w:rsid w:val="00D806AA"/>
    <w:rsid w:val="00D82120"/>
    <w:rsid w:val="00D82ECF"/>
    <w:rsid w:val="00D83E4B"/>
    <w:rsid w:val="00D850A0"/>
    <w:rsid w:val="00D850E7"/>
    <w:rsid w:val="00D8559D"/>
    <w:rsid w:val="00D856C7"/>
    <w:rsid w:val="00D87B60"/>
    <w:rsid w:val="00D87BF9"/>
    <w:rsid w:val="00D90420"/>
    <w:rsid w:val="00D90ECF"/>
    <w:rsid w:val="00D91FCD"/>
    <w:rsid w:val="00D93B86"/>
    <w:rsid w:val="00D95226"/>
    <w:rsid w:val="00D956DF"/>
    <w:rsid w:val="00D95A4C"/>
    <w:rsid w:val="00DA03AD"/>
    <w:rsid w:val="00DA100E"/>
    <w:rsid w:val="00DA2034"/>
    <w:rsid w:val="00DA30EE"/>
    <w:rsid w:val="00DA35FF"/>
    <w:rsid w:val="00DA3A24"/>
    <w:rsid w:val="00DA3B9A"/>
    <w:rsid w:val="00DA4ECA"/>
    <w:rsid w:val="00DA718B"/>
    <w:rsid w:val="00DB7D21"/>
    <w:rsid w:val="00DC12D2"/>
    <w:rsid w:val="00DC1F18"/>
    <w:rsid w:val="00DC23D3"/>
    <w:rsid w:val="00DC48FD"/>
    <w:rsid w:val="00DC572A"/>
    <w:rsid w:val="00DC5A9E"/>
    <w:rsid w:val="00DC613F"/>
    <w:rsid w:val="00DC6670"/>
    <w:rsid w:val="00DC670E"/>
    <w:rsid w:val="00DD27E4"/>
    <w:rsid w:val="00DD6AEB"/>
    <w:rsid w:val="00DD7D2E"/>
    <w:rsid w:val="00DE2072"/>
    <w:rsid w:val="00DE34D1"/>
    <w:rsid w:val="00DE4419"/>
    <w:rsid w:val="00DE54FF"/>
    <w:rsid w:val="00DE6928"/>
    <w:rsid w:val="00DF221F"/>
    <w:rsid w:val="00DF25E6"/>
    <w:rsid w:val="00DF54D7"/>
    <w:rsid w:val="00DF5544"/>
    <w:rsid w:val="00DF68F7"/>
    <w:rsid w:val="00DF6D30"/>
    <w:rsid w:val="00DF7619"/>
    <w:rsid w:val="00DF7956"/>
    <w:rsid w:val="00DF7981"/>
    <w:rsid w:val="00DF7E27"/>
    <w:rsid w:val="00E0034B"/>
    <w:rsid w:val="00E00F0F"/>
    <w:rsid w:val="00E029F8"/>
    <w:rsid w:val="00E03289"/>
    <w:rsid w:val="00E070A0"/>
    <w:rsid w:val="00E071AA"/>
    <w:rsid w:val="00E11975"/>
    <w:rsid w:val="00E12082"/>
    <w:rsid w:val="00E13EE5"/>
    <w:rsid w:val="00E14474"/>
    <w:rsid w:val="00E14CB1"/>
    <w:rsid w:val="00E175FA"/>
    <w:rsid w:val="00E17F17"/>
    <w:rsid w:val="00E21180"/>
    <w:rsid w:val="00E2152D"/>
    <w:rsid w:val="00E23AE7"/>
    <w:rsid w:val="00E23E17"/>
    <w:rsid w:val="00E259EC"/>
    <w:rsid w:val="00E25C4C"/>
    <w:rsid w:val="00E272B0"/>
    <w:rsid w:val="00E30B06"/>
    <w:rsid w:val="00E35A9D"/>
    <w:rsid w:val="00E367B5"/>
    <w:rsid w:val="00E3793E"/>
    <w:rsid w:val="00E40016"/>
    <w:rsid w:val="00E41258"/>
    <w:rsid w:val="00E41477"/>
    <w:rsid w:val="00E4176F"/>
    <w:rsid w:val="00E418C0"/>
    <w:rsid w:val="00E4276F"/>
    <w:rsid w:val="00E44C11"/>
    <w:rsid w:val="00E46D7C"/>
    <w:rsid w:val="00E505F1"/>
    <w:rsid w:val="00E508B6"/>
    <w:rsid w:val="00E54B8B"/>
    <w:rsid w:val="00E55669"/>
    <w:rsid w:val="00E565B1"/>
    <w:rsid w:val="00E60448"/>
    <w:rsid w:val="00E61BE7"/>
    <w:rsid w:val="00E62F8D"/>
    <w:rsid w:val="00E6476E"/>
    <w:rsid w:val="00E65B39"/>
    <w:rsid w:val="00E700D7"/>
    <w:rsid w:val="00E73F9E"/>
    <w:rsid w:val="00E75FFF"/>
    <w:rsid w:val="00E76F7C"/>
    <w:rsid w:val="00E81E17"/>
    <w:rsid w:val="00E84540"/>
    <w:rsid w:val="00E84FC7"/>
    <w:rsid w:val="00E8520F"/>
    <w:rsid w:val="00E85CD0"/>
    <w:rsid w:val="00E92585"/>
    <w:rsid w:val="00E95266"/>
    <w:rsid w:val="00E958A4"/>
    <w:rsid w:val="00E97D22"/>
    <w:rsid w:val="00EA0389"/>
    <w:rsid w:val="00EA0C67"/>
    <w:rsid w:val="00EA2400"/>
    <w:rsid w:val="00EA2500"/>
    <w:rsid w:val="00EA2525"/>
    <w:rsid w:val="00EA296D"/>
    <w:rsid w:val="00EA4075"/>
    <w:rsid w:val="00EA40C0"/>
    <w:rsid w:val="00EA73B6"/>
    <w:rsid w:val="00EB0CFB"/>
    <w:rsid w:val="00EB1B9C"/>
    <w:rsid w:val="00EB37D1"/>
    <w:rsid w:val="00EB517E"/>
    <w:rsid w:val="00EB61D9"/>
    <w:rsid w:val="00EB721E"/>
    <w:rsid w:val="00EB74DF"/>
    <w:rsid w:val="00EB79DE"/>
    <w:rsid w:val="00EC14C8"/>
    <w:rsid w:val="00EC304C"/>
    <w:rsid w:val="00EC4FC9"/>
    <w:rsid w:val="00EC5419"/>
    <w:rsid w:val="00EC5FE8"/>
    <w:rsid w:val="00ED03EB"/>
    <w:rsid w:val="00ED0503"/>
    <w:rsid w:val="00ED08E4"/>
    <w:rsid w:val="00ED4330"/>
    <w:rsid w:val="00EE1A12"/>
    <w:rsid w:val="00EE1CCF"/>
    <w:rsid w:val="00EE3A56"/>
    <w:rsid w:val="00EE566F"/>
    <w:rsid w:val="00EE63A5"/>
    <w:rsid w:val="00EE6462"/>
    <w:rsid w:val="00EF0696"/>
    <w:rsid w:val="00EF3240"/>
    <w:rsid w:val="00EF377A"/>
    <w:rsid w:val="00EF45F3"/>
    <w:rsid w:val="00EF4DBA"/>
    <w:rsid w:val="00EF6966"/>
    <w:rsid w:val="00F02012"/>
    <w:rsid w:val="00F03535"/>
    <w:rsid w:val="00F037DF"/>
    <w:rsid w:val="00F10DE7"/>
    <w:rsid w:val="00F13A29"/>
    <w:rsid w:val="00F15525"/>
    <w:rsid w:val="00F220E4"/>
    <w:rsid w:val="00F2292B"/>
    <w:rsid w:val="00F2391D"/>
    <w:rsid w:val="00F240FD"/>
    <w:rsid w:val="00F24A30"/>
    <w:rsid w:val="00F24D48"/>
    <w:rsid w:val="00F24FEF"/>
    <w:rsid w:val="00F261E3"/>
    <w:rsid w:val="00F31F96"/>
    <w:rsid w:val="00F327F6"/>
    <w:rsid w:val="00F33623"/>
    <w:rsid w:val="00F3625A"/>
    <w:rsid w:val="00F37F5B"/>
    <w:rsid w:val="00F404BA"/>
    <w:rsid w:val="00F406C6"/>
    <w:rsid w:val="00F41C51"/>
    <w:rsid w:val="00F42BF6"/>
    <w:rsid w:val="00F454A3"/>
    <w:rsid w:val="00F47544"/>
    <w:rsid w:val="00F478DF"/>
    <w:rsid w:val="00F500BF"/>
    <w:rsid w:val="00F51807"/>
    <w:rsid w:val="00F54479"/>
    <w:rsid w:val="00F554D4"/>
    <w:rsid w:val="00F55F2C"/>
    <w:rsid w:val="00F5613E"/>
    <w:rsid w:val="00F60643"/>
    <w:rsid w:val="00F6225D"/>
    <w:rsid w:val="00F62338"/>
    <w:rsid w:val="00F6254B"/>
    <w:rsid w:val="00F62861"/>
    <w:rsid w:val="00F63369"/>
    <w:rsid w:val="00F634E2"/>
    <w:rsid w:val="00F63555"/>
    <w:rsid w:val="00F651F6"/>
    <w:rsid w:val="00F65790"/>
    <w:rsid w:val="00F65AD9"/>
    <w:rsid w:val="00F67412"/>
    <w:rsid w:val="00F678B4"/>
    <w:rsid w:val="00F719E6"/>
    <w:rsid w:val="00F729D8"/>
    <w:rsid w:val="00F73210"/>
    <w:rsid w:val="00F7336E"/>
    <w:rsid w:val="00F73FF1"/>
    <w:rsid w:val="00F74145"/>
    <w:rsid w:val="00F7425C"/>
    <w:rsid w:val="00F74D53"/>
    <w:rsid w:val="00F76292"/>
    <w:rsid w:val="00F76705"/>
    <w:rsid w:val="00F80735"/>
    <w:rsid w:val="00F80BE4"/>
    <w:rsid w:val="00F82C1E"/>
    <w:rsid w:val="00F8367D"/>
    <w:rsid w:val="00F87722"/>
    <w:rsid w:val="00F87899"/>
    <w:rsid w:val="00F90901"/>
    <w:rsid w:val="00F914A2"/>
    <w:rsid w:val="00F92885"/>
    <w:rsid w:val="00F9315D"/>
    <w:rsid w:val="00F94165"/>
    <w:rsid w:val="00F97A61"/>
    <w:rsid w:val="00FA4A97"/>
    <w:rsid w:val="00FA6936"/>
    <w:rsid w:val="00FA6D61"/>
    <w:rsid w:val="00FA7E63"/>
    <w:rsid w:val="00FB162C"/>
    <w:rsid w:val="00FB1F89"/>
    <w:rsid w:val="00FB32E0"/>
    <w:rsid w:val="00FB32E3"/>
    <w:rsid w:val="00FB551D"/>
    <w:rsid w:val="00FB6FA1"/>
    <w:rsid w:val="00FB7756"/>
    <w:rsid w:val="00FC0D33"/>
    <w:rsid w:val="00FC2C9B"/>
    <w:rsid w:val="00FC3B3F"/>
    <w:rsid w:val="00FC4001"/>
    <w:rsid w:val="00FC60B9"/>
    <w:rsid w:val="00FC64FD"/>
    <w:rsid w:val="00FC6835"/>
    <w:rsid w:val="00FD126E"/>
    <w:rsid w:val="00FD1F0D"/>
    <w:rsid w:val="00FD2D3D"/>
    <w:rsid w:val="00FD351E"/>
    <w:rsid w:val="00FD41D4"/>
    <w:rsid w:val="00FD487C"/>
    <w:rsid w:val="00FD6788"/>
    <w:rsid w:val="00FD7325"/>
    <w:rsid w:val="00FD765B"/>
    <w:rsid w:val="00FE0952"/>
    <w:rsid w:val="00FE17D0"/>
    <w:rsid w:val="00FE4C82"/>
    <w:rsid w:val="00FE5593"/>
    <w:rsid w:val="00FE679C"/>
    <w:rsid w:val="00FF1CD0"/>
    <w:rsid w:val="00FF2385"/>
    <w:rsid w:val="00FF4369"/>
    <w:rsid w:val="00FF443F"/>
    <w:rsid w:val="00FF4D34"/>
    <w:rsid w:val="00FF50A7"/>
    <w:rsid w:val="00FF6D01"/>
    <w:rsid w:val="00FF7A88"/>
    <w:rsid w:val="764CB3FA"/>
  </w:rsids>
  <m:mathPr>
    <m:mathFont m:val="Cambria Math"/>
    <m:brkBin m:val="before"/>
    <m:brkBinSub m:val="--"/>
    <m:smallFrac/>
    <m:dispDef/>
    <m:lMargin m:val="0"/>
    <m:rMargin m:val="0"/>
    <m:defJc m:val="centerGroup"/>
    <m:wrapRight/>
    <m:intLim m:val="subSup"/>
    <m:naryLim m:val="subSup"/>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6A3694"/>
  <w15:docId w15:val="{3FBEE9D9-22A8-4F1C-A6E8-66EDD760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qFormat="1"/>
    <w:lsdException w:name="heading 3" w:uiPriority="9" w:qFormat="1"/>
    <w:lsdException w:name="heading 4" w:uiPriority="9" w:qFormat="1"/>
    <w:lsdException w:name="heading 5" w:uiPriority="0"/>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42C85"/>
    <w:pPr>
      <w:autoSpaceDE w:val="0"/>
      <w:autoSpaceDN w:val="0"/>
      <w:adjustRightInd w:val="0"/>
      <w:spacing w:after="240" w:line="300" w:lineRule="auto"/>
    </w:pPr>
    <w:rPr>
      <w:rFonts w:ascii="Helvetica" w:eastAsia="Times New Roman" w:hAnsi="Helvetica" w:cs="ArialMT"/>
      <w:sz w:val="22"/>
      <w:szCs w:val="22"/>
      <w:lang w:bidi="en-US"/>
    </w:rPr>
  </w:style>
  <w:style w:type="paragraph" w:styleId="Heading1">
    <w:name w:val="heading 1"/>
    <w:basedOn w:val="Normal"/>
    <w:next w:val="BodyText"/>
    <w:link w:val="Heading1Char"/>
    <w:qFormat/>
    <w:rsid w:val="001854F8"/>
    <w:pPr>
      <w:keepNext/>
      <w:numPr>
        <w:numId w:val="6"/>
      </w:numPr>
      <w:spacing w:after="400" w:line="240" w:lineRule="auto"/>
      <w:outlineLvl w:val="0"/>
    </w:pPr>
    <w:rPr>
      <w:rFonts w:ascii="Arial" w:hAnsi="Arial" w:cs="Arial"/>
      <w:bCs/>
      <w:color w:val="143C71"/>
      <w:kern w:val="32"/>
      <w:sz w:val="40"/>
      <w:szCs w:val="40"/>
    </w:rPr>
  </w:style>
  <w:style w:type="paragraph" w:styleId="Heading2">
    <w:name w:val="heading 2"/>
    <w:basedOn w:val="Normal"/>
    <w:next w:val="BodyText"/>
    <w:qFormat/>
    <w:rsid w:val="00AC0225"/>
    <w:pPr>
      <w:keepNext/>
      <w:numPr>
        <w:ilvl w:val="1"/>
        <w:numId w:val="6"/>
      </w:numPr>
      <w:spacing w:before="360" w:after="120" w:line="240" w:lineRule="auto"/>
      <w:outlineLvl w:val="1"/>
    </w:pPr>
    <w:rPr>
      <w:rFonts w:ascii="Arial" w:hAnsi="Arial" w:cs="Arial"/>
      <w:bCs/>
      <w:color w:val="098435"/>
      <w:sz w:val="32"/>
      <w:szCs w:val="32"/>
    </w:rPr>
  </w:style>
  <w:style w:type="paragraph" w:styleId="Heading3">
    <w:name w:val="heading 3"/>
    <w:basedOn w:val="Normal"/>
    <w:next w:val="Normal"/>
    <w:qFormat/>
    <w:rsid w:val="00AC0225"/>
    <w:pPr>
      <w:keepNext/>
      <w:numPr>
        <w:ilvl w:val="2"/>
        <w:numId w:val="6"/>
      </w:numPr>
      <w:spacing w:before="360" w:after="120" w:line="240" w:lineRule="auto"/>
      <w:outlineLvl w:val="2"/>
    </w:pPr>
    <w:rPr>
      <w:rFonts w:ascii="Arial" w:hAnsi="Arial" w:cs="Arial"/>
      <w:bCs/>
      <w:sz w:val="28"/>
      <w:szCs w:val="28"/>
    </w:rPr>
  </w:style>
  <w:style w:type="paragraph" w:styleId="Heading4">
    <w:name w:val="heading 4"/>
    <w:basedOn w:val="Normal"/>
    <w:next w:val="Normal"/>
    <w:qFormat/>
    <w:rsid w:val="00AC0225"/>
    <w:pPr>
      <w:keepNext/>
      <w:numPr>
        <w:ilvl w:val="3"/>
        <w:numId w:val="6"/>
      </w:numPr>
      <w:spacing w:before="240" w:after="120" w:line="240" w:lineRule="auto"/>
      <w:outlineLvl w:val="3"/>
    </w:pPr>
    <w:rPr>
      <w:rFonts w:ascii="Arial" w:hAnsi="Arial" w:cs="Arial"/>
      <w:bCs/>
      <w:iCs/>
      <w:sz w:val="26"/>
      <w:szCs w:val="26"/>
    </w:rPr>
  </w:style>
  <w:style w:type="paragraph" w:styleId="Heading5">
    <w:name w:val="heading 5"/>
    <w:aliases w:val="Text box headings"/>
    <w:basedOn w:val="Normal"/>
    <w:next w:val="Normal"/>
    <w:link w:val="Heading5Char"/>
    <w:pPr>
      <w:spacing w:before="240" w:after="60"/>
      <w:outlineLvl w:val="4"/>
    </w:pPr>
    <w:rPr>
      <w:rFonts w:ascii="Arial Narrow" w:hAnsi="Arial Narrow"/>
      <w:b/>
      <w:color w:val="003366"/>
      <w:sz w:val="26"/>
      <w:szCs w:val="26"/>
    </w:rPr>
  </w:style>
  <w:style w:type="paragraph" w:styleId="Heading6">
    <w:name w:val="heading 6"/>
    <w:aliases w:val="Table Style"/>
    <w:basedOn w:val="Normal"/>
    <w:next w:val="Normal"/>
    <w:pPr>
      <w:spacing w:before="240" w:after="60"/>
      <w:jc w:val="center"/>
      <w:outlineLvl w:val="5"/>
    </w:pPr>
    <w:rPr>
      <w:rFonts w:ascii="Arial Narrow" w:hAnsi="Arial Narrow"/>
      <w:b/>
      <w:color w:val="00B16B" w:themeColor="text2"/>
    </w:rPr>
  </w:style>
  <w:style w:type="paragraph" w:styleId="Heading7">
    <w:name w:val="heading 7"/>
    <w:aliases w:val="Annex Text Box Style"/>
    <w:basedOn w:val="Normal"/>
    <w:next w:val="Normal"/>
    <w:pPr>
      <w:spacing w:before="240" w:after="60"/>
      <w:outlineLvl w:val="6"/>
    </w:pPr>
    <w:rPr>
      <w:rFonts w:ascii="Arial Narrow" w:hAnsi="Arial Narrow"/>
      <w:b/>
      <w:color w:val="00B16B" w:themeColor="text2"/>
      <w:sz w:val="44"/>
      <w:szCs w:val="44"/>
    </w:rPr>
  </w:style>
  <w:style w:type="paragraph" w:styleId="Heading8">
    <w:name w:val="heading 8"/>
    <w:basedOn w:val="Normal"/>
    <w:next w:val="Normal"/>
    <w:pPr>
      <w:spacing w:before="240" w:after="60"/>
      <w:outlineLvl w:val="7"/>
    </w:pPr>
    <w:rPr>
      <w:rFonts w:ascii="Times New Roman" w:hAnsi="Times New Roman"/>
      <w:i/>
    </w:rPr>
  </w:style>
  <w:style w:type="paragraph" w:styleId="Heading9">
    <w:name w:val="heading 9"/>
    <w:basedOn w:val="Normal"/>
    <w:next w:val="Normal"/>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5C65B8"/>
    <w:pPr>
      <w:jc w:val="both"/>
    </w:pPr>
    <w:rPr>
      <w:rFonts w:ascii="Arial" w:hAnsi="Arial" w:cs="Arial"/>
    </w:rPr>
  </w:style>
  <w:style w:type="character" w:customStyle="1" w:styleId="BodyTextChar">
    <w:name w:val="Body Text Char"/>
    <w:basedOn w:val="DefaultParagraphFont"/>
    <w:link w:val="BodyText"/>
    <w:uiPriority w:val="99"/>
    <w:rsid w:val="005C65B8"/>
    <w:rPr>
      <w:rFonts w:ascii="Arial" w:eastAsia="Times New Roman" w:hAnsi="Arial" w:cs="Arial"/>
      <w:sz w:val="22"/>
      <w:szCs w:val="22"/>
      <w:lang w:bidi="en-US"/>
    </w:rPr>
  </w:style>
  <w:style w:type="character" w:customStyle="1" w:styleId="Heading1Char">
    <w:name w:val="Heading 1 Char"/>
    <w:basedOn w:val="DefaultParagraphFont"/>
    <w:link w:val="Heading1"/>
    <w:rsid w:val="001854F8"/>
    <w:rPr>
      <w:rFonts w:ascii="Arial" w:eastAsia="Times New Roman" w:hAnsi="Arial" w:cs="Arial"/>
      <w:bCs/>
      <w:color w:val="143C71"/>
      <w:kern w:val="32"/>
      <w:sz w:val="40"/>
      <w:szCs w:val="40"/>
      <w:lang w:bidi="en-US"/>
    </w:rPr>
  </w:style>
  <w:style w:type="character" w:customStyle="1" w:styleId="Heading5Char">
    <w:name w:val="Heading 5 Char"/>
    <w:aliases w:val="Text box headings Char"/>
    <w:basedOn w:val="DefaultParagraphFont"/>
    <w:link w:val="Heading5"/>
    <w:rPr>
      <w:rFonts w:ascii="Arial Narrow" w:hAnsi="Arial Narrow"/>
      <w:b/>
      <w:color w:val="003366"/>
      <w:sz w:val="26"/>
      <w:szCs w:val="26"/>
    </w:rPr>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table" w:customStyle="1" w:styleId="OU1">
    <w:name w:val="OU 1"/>
    <w:basedOn w:val="TableNormal"/>
    <w:uiPriority w:val="99"/>
    <w:rsid w:val="000A3B21"/>
    <w:pPr>
      <w:snapToGrid w:val="0"/>
      <w:spacing w:before="40" w:after="40" w:line="276" w:lineRule="auto"/>
    </w:pPr>
    <w:rPr>
      <w:rFonts w:ascii="Helvetica" w:hAnsi="Helvetica"/>
      <w:sz w:val="22"/>
    </w:rPr>
    <w:tblPr>
      <w:tblBorders>
        <w:bottom w:val="single" w:sz="4" w:space="0" w:color="00A752"/>
        <w:insideH w:val="single" w:sz="4" w:space="0" w:color="00A752"/>
      </w:tblBorders>
    </w:tblPr>
    <w:tcPr>
      <w:vAlign w:val="center"/>
    </w:tcPr>
  </w:style>
  <w:style w:type="paragraph" w:styleId="TOAHeading">
    <w:name w:val="toa heading"/>
    <w:basedOn w:val="Normal"/>
    <w:next w:val="Normal"/>
    <w:semiHidden/>
    <w:pPr>
      <w:spacing w:before="120"/>
    </w:pPr>
    <w:rPr>
      <w:rFonts w:ascii="Arial" w:hAnsi="Arial"/>
      <w:b/>
    </w:rPr>
  </w:style>
  <w:style w:type="paragraph" w:customStyle="1" w:styleId="HeadingStyle">
    <w:name w:val="Heading Style"/>
    <w:basedOn w:val="Normal"/>
    <w:rsid w:val="0042204F"/>
    <w:pPr>
      <w:widowControl w:val="0"/>
      <w:spacing w:after="280" w:line="280" w:lineRule="atLeast"/>
      <w:jc w:val="both"/>
    </w:pPr>
    <w:rPr>
      <w:color w:val="003366"/>
      <w:sz w:val="48"/>
    </w:rPr>
  </w:style>
  <w:style w:type="paragraph" w:styleId="TOC3">
    <w:name w:val="toc 3"/>
    <w:basedOn w:val="Normal"/>
    <w:next w:val="Normal"/>
    <w:autoRedefine/>
    <w:uiPriority w:val="39"/>
    <w:pPr>
      <w:spacing w:after="0"/>
      <w:ind w:left="440"/>
    </w:pPr>
    <w:rPr>
      <w:rFonts w:asciiTheme="minorHAnsi" w:hAnsiTheme="minorHAnsi"/>
      <w:sz w:val="20"/>
      <w:szCs w:val="20"/>
    </w:rPr>
  </w:style>
  <w:style w:type="paragraph" w:styleId="TOC4">
    <w:name w:val="toc 4"/>
    <w:basedOn w:val="Normal"/>
    <w:next w:val="Normal"/>
    <w:autoRedefine/>
    <w:uiPriority w:val="39"/>
    <w:pPr>
      <w:spacing w:after="0"/>
      <w:ind w:left="660"/>
    </w:pPr>
    <w:rPr>
      <w:rFonts w:asciiTheme="minorHAnsi" w:hAnsiTheme="minorHAnsi"/>
      <w:sz w:val="20"/>
      <w:szCs w:val="20"/>
    </w:rPr>
  </w:style>
  <w:style w:type="paragraph" w:styleId="TOC5">
    <w:name w:val="toc 5"/>
    <w:basedOn w:val="Normal"/>
    <w:next w:val="Normal"/>
    <w:autoRedefine/>
    <w:semiHidden/>
    <w:pPr>
      <w:spacing w:after="0"/>
      <w:ind w:left="880"/>
    </w:pPr>
    <w:rPr>
      <w:rFonts w:asciiTheme="minorHAnsi" w:hAnsiTheme="minorHAnsi"/>
      <w:sz w:val="20"/>
      <w:szCs w:val="20"/>
    </w:rPr>
  </w:style>
  <w:style w:type="paragraph" w:styleId="TOC6">
    <w:name w:val="toc 6"/>
    <w:basedOn w:val="Normal"/>
    <w:next w:val="Normal"/>
    <w:autoRedefine/>
    <w:semiHidden/>
    <w:pPr>
      <w:spacing w:after="0"/>
      <w:ind w:left="1100"/>
    </w:pPr>
    <w:rPr>
      <w:rFonts w:asciiTheme="minorHAnsi" w:hAnsiTheme="minorHAnsi"/>
      <w:sz w:val="20"/>
      <w:szCs w:val="20"/>
    </w:rPr>
  </w:style>
  <w:style w:type="paragraph" w:styleId="TOC7">
    <w:name w:val="toc 7"/>
    <w:basedOn w:val="Normal"/>
    <w:next w:val="Normal"/>
    <w:autoRedefine/>
    <w:semiHidden/>
    <w:pPr>
      <w:spacing w:after="0"/>
      <w:ind w:left="1320"/>
    </w:pPr>
    <w:rPr>
      <w:rFonts w:asciiTheme="minorHAnsi" w:hAnsiTheme="minorHAnsi"/>
      <w:sz w:val="20"/>
      <w:szCs w:val="20"/>
    </w:rPr>
  </w:style>
  <w:style w:type="paragraph" w:styleId="TOC8">
    <w:name w:val="toc 8"/>
    <w:basedOn w:val="Normal"/>
    <w:next w:val="Normal"/>
    <w:autoRedefine/>
    <w:semiHidden/>
    <w:pPr>
      <w:spacing w:after="0"/>
      <w:ind w:left="1540"/>
    </w:pPr>
    <w:rPr>
      <w:rFonts w:asciiTheme="minorHAnsi" w:hAnsiTheme="minorHAnsi"/>
      <w:sz w:val="20"/>
      <w:szCs w:val="20"/>
    </w:rPr>
  </w:style>
  <w:style w:type="paragraph" w:styleId="TOC9">
    <w:name w:val="toc 9"/>
    <w:basedOn w:val="Normal"/>
    <w:next w:val="Normal"/>
    <w:autoRedefine/>
    <w:semiHidden/>
    <w:pPr>
      <w:spacing w:after="0"/>
      <w:ind w:left="1760"/>
    </w:pPr>
    <w:rPr>
      <w:rFonts w:asciiTheme="minorHAnsi" w:hAnsiTheme="minorHAnsi"/>
      <w:sz w:val="20"/>
      <w:szCs w:val="20"/>
    </w:rPr>
  </w:style>
  <w:style w:type="paragraph" w:styleId="ListBullet">
    <w:name w:val="List Bullet"/>
    <w:basedOn w:val="Normal"/>
    <w:link w:val="ListBulletChar"/>
    <w:autoRedefine/>
    <w:pPr>
      <w:tabs>
        <w:tab w:val="num" w:pos="0"/>
      </w:tabs>
    </w:pPr>
  </w:style>
  <w:style w:type="character" w:customStyle="1" w:styleId="ListBulletChar">
    <w:name w:val="List Bullet Char"/>
    <w:basedOn w:val="DefaultParagraphFont"/>
    <w:link w:val="ListBullet"/>
    <w:rPr>
      <w:rFonts w:ascii="Times" w:hAnsi="Times"/>
      <w:sz w:val="22"/>
      <w:szCs w:val="24"/>
    </w:rPr>
  </w:style>
  <w:style w:type="paragraph" w:styleId="ListBullet2">
    <w:name w:val="List Bullet 2"/>
    <w:basedOn w:val="Normal"/>
    <w:autoRedefine/>
    <w:pPr>
      <w:numPr>
        <w:numId w:val="1"/>
      </w:numPr>
    </w:pPr>
    <w:rPr>
      <w:color w:val="000000"/>
    </w:rPr>
  </w:style>
  <w:style w:type="table" w:styleId="LightShading">
    <w:name w:val="Light Shading"/>
    <w:basedOn w:val="TableNormal"/>
    <w:uiPriority w:val="60"/>
    <w:rsid w:val="001C744B"/>
    <w:rPr>
      <w:color w:val="0A3A6F" w:themeColor="text1" w:themeShade="BF"/>
    </w:rPr>
    <w:tblPr>
      <w:tblStyleRowBandSize w:val="1"/>
      <w:tblStyleColBandSize w:val="1"/>
      <w:tblBorders>
        <w:top w:val="single" w:sz="8" w:space="0" w:color="0E4E95" w:themeColor="text1"/>
        <w:bottom w:val="single" w:sz="8" w:space="0" w:color="0E4E95" w:themeColor="text1"/>
      </w:tblBorders>
    </w:tblPr>
    <w:tblStylePr w:type="firstRow">
      <w:pPr>
        <w:spacing w:before="0" w:after="0" w:line="240" w:lineRule="auto"/>
      </w:pPr>
      <w:rPr>
        <w:b/>
        <w:bCs/>
      </w:rPr>
      <w:tblPr/>
      <w:tcPr>
        <w:tcBorders>
          <w:top w:val="single" w:sz="8" w:space="0" w:color="0E4E95" w:themeColor="text1"/>
          <w:left w:val="nil"/>
          <w:bottom w:val="single" w:sz="8" w:space="0" w:color="0E4E95" w:themeColor="text1"/>
          <w:right w:val="nil"/>
          <w:insideH w:val="nil"/>
          <w:insideV w:val="nil"/>
        </w:tcBorders>
      </w:tcPr>
    </w:tblStylePr>
    <w:tblStylePr w:type="lastRow">
      <w:pPr>
        <w:spacing w:before="0" w:after="0" w:line="240" w:lineRule="auto"/>
      </w:pPr>
      <w:rPr>
        <w:b/>
        <w:bCs/>
      </w:rPr>
      <w:tblPr/>
      <w:tcPr>
        <w:tcBorders>
          <w:top w:val="single" w:sz="8" w:space="0" w:color="0E4E95" w:themeColor="text1"/>
          <w:left w:val="nil"/>
          <w:bottom w:val="single" w:sz="8" w:space="0" w:color="0E4E9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1F7" w:themeFill="text1" w:themeFillTint="3F"/>
      </w:tcPr>
    </w:tblStylePr>
    <w:tblStylePr w:type="band1Horz">
      <w:tblPr/>
      <w:tcPr>
        <w:tcBorders>
          <w:left w:val="nil"/>
          <w:right w:val="nil"/>
          <w:insideH w:val="nil"/>
          <w:insideV w:val="nil"/>
        </w:tcBorders>
        <w:shd w:val="clear" w:color="auto" w:fill="B0D1F7" w:themeFill="text1" w:themeFillTint="3F"/>
      </w:tcPr>
    </w:tblStylePr>
  </w:style>
  <w:style w:type="table" w:styleId="TableTheme">
    <w:name w:val="Table Theme"/>
    <w:basedOn w:val="TableNormal"/>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pPr>
      <w:spacing w:after="200"/>
    </w:p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aliases w:val="MDF table style"/>
    <w:basedOn w:val="TableGrid8"/>
    <w:uiPriority w:val="39"/>
    <w:rsid w:val="00EA2525"/>
    <w:rPr>
      <w:rFonts w:asciiTheme="majorHAnsi" w:hAnsiTheme="majorHAnsi"/>
      <w:sz w:val="18"/>
      <w:lang w:val="id-ID" w:eastAsia="id-ID" w:bidi="km-KH"/>
    </w:rPr>
    <w:tblPr>
      <w:tblBorders>
        <w:top w:val="single" w:sz="4" w:space="0" w:color="0E4E95" w:themeColor="text1"/>
        <w:left w:val="single" w:sz="4" w:space="0" w:color="0E4E95" w:themeColor="text1"/>
        <w:bottom w:val="single" w:sz="4" w:space="0" w:color="0E4E95" w:themeColor="text1"/>
        <w:right w:val="single" w:sz="4" w:space="0" w:color="0E4E95" w:themeColor="text1"/>
        <w:insideH w:val="single" w:sz="4" w:space="0" w:color="0E4E95" w:themeColor="text1"/>
        <w:insideV w:val="single" w:sz="4" w:space="0" w:color="0E4E95" w:themeColor="text1"/>
      </w:tblBorders>
    </w:tblPr>
    <w:tcPr>
      <w:shd w:val="clear" w:color="auto" w:fill="auto"/>
      <w:vAlign w:val="center"/>
    </w:tcPr>
    <w:tblStylePr w:type="firstRow">
      <w:pPr>
        <w:jc w:val="center"/>
      </w:pPr>
      <w:rPr>
        <w:rFonts w:ascii="Calibri" w:hAnsi="Calibri"/>
        <w:b/>
        <w:bCs/>
        <w:color w:val="FFFFFF"/>
        <w:sz w:val="18"/>
      </w:rPr>
      <w:tblPr/>
      <w:tcPr>
        <w:tcBorders>
          <w:insideV w:val="single" w:sz="4" w:space="0" w:color="F8F8F8"/>
          <w:tl2br w:val="none" w:sz="0" w:space="0" w:color="auto"/>
          <w:tr2bl w:val="none" w:sz="0" w:space="0" w:color="auto"/>
        </w:tcBorders>
        <w:shd w:val="clear" w:color="auto" w:fill="0E4E95" w:themeFill="text1"/>
      </w:tcPr>
    </w:tblStylePr>
    <w:tblStylePr w:type="lastRow">
      <w:rPr>
        <w:rFonts w:ascii="Calibri" w:hAnsi="Calibri"/>
        <w:b w:val="0"/>
        <w:bCs/>
        <w:color w:val="auto"/>
        <w:sz w:val="18"/>
      </w:rPr>
      <w:tblPr/>
      <w:tcPr>
        <w:tcBorders>
          <w:tl2br w:val="none" w:sz="0" w:space="0" w:color="auto"/>
          <w:tr2bl w:val="none" w:sz="0" w:space="0" w:color="auto"/>
        </w:tcBorders>
      </w:tcPr>
    </w:tblStylePr>
    <w:tblStylePr w:type="lastCol">
      <w:rPr>
        <w:rFonts w:ascii="Calibri" w:hAnsi="Calibri"/>
        <w:b w:val="0"/>
        <w:bCs/>
        <w:color w:val="auto"/>
        <w:sz w:val="18"/>
      </w:rPr>
      <w:tblPr/>
      <w:tcPr>
        <w:tcBorders>
          <w:tl2br w:val="none" w:sz="0" w:space="0" w:color="auto"/>
          <w:tr2bl w:val="none" w:sz="0" w:space="0" w:color="auto"/>
        </w:tcBorders>
      </w:tcPr>
    </w:tblStylePr>
  </w:style>
  <w:style w:type="paragraph" w:styleId="Title">
    <w:name w:val="Title"/>
    <w:basedOn w:val="Normal"/>
    <w:next w:val="Normal"/>
    <w:link w:val="TitleChar"/>
    <w:uiPriority w:val="10"/>
    <w:pPr>
      <w:pBdr>
        <w:bottom w:val="single" w:sz="8" w:space="4" w:color="FFC10E" w:themeColor="accent1"/>
      </w:pBdr>
      <w:spacing w:after="300"/>
      <w:contextualSpacing/>
    </w:pPr>
    <w:rPr>
      <w:rFonts w:asciiTheme="majorHAnsi" w:eastAsiaTheme="majorEastAsia" w:hAnsiTheme="majorHAnsi" w:cstheme="majorBidi"/>
      <w:color w:val="00844F"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844F" w:themeColor="text2" w:themeShade="BF"/>
      <w:spacing w:val="5"/>
      <w:kern w:val="28"/>
      <w:sz w:val="52"/>
      <w:szCs w:val="52"/>
    </w:rPr>
  </w:style>
  <w:style w:type="paragraph" w:styleId="TOCHeading">
    <w:name w:val="TOC Heading"/>
    <w:basedOn w:val="Heading1"/>
    <w:next w:val="Normal"/>
    <w:uiPriority w:val="39"/>
    <w:unhideWhenUsed/>
    <w:qFormat/>
    <w:pPr>
      <w:keepLines/>
      <w:spacing w:line="276" w:lineRule="auto"/>
      <w:outlineLvl w:val="9"/>
    </w:pPr>
    <w:rPr>
      <w:rFonts w:eastAsiaTheme="majorEastAsia" w:cstheme="majorBidi"/>
      <w:bCs w:val="0"/>
      <w:color w:val="C99500" w:themeColor="accent1" w:themeShade="BF"/>
      <w:kern w:val="0"/>
      <w:sz w:val="28"/>
      <w:szCs w:val="28"/>
    </w:rPr>
  </w:style>
  <w:style w:type="character" w:styleId="Hyperlink">
    <w:name w:val="Hyperlink"/>
    <w:basedOn w:val="DefaultParagraphFont"/>
    <w:uiPriority w:val="99"/>
    <w:unhideWhenUsed/>
    <w:rPr>
      <w:color w:val="0000FF" w:themeColor="hyperlink"/>
      <w:u w:val="single"/>
    </w:rPr>
  </w:style>
  <w:style w:type="paragraph" w:styleId="TableofFigures">
    <w:name w:val="table of figures"/>
    <w:basedOn w:val="Normal"/>
    <w:next w:val="Normal"/>
    <w:uiPriority w:val="99"/>
    <w:unhideWhenUsed/>
    <w:pPr>
      <w:spacing w:after="60" w:line="240" w:lineRule="auto"/>
    </w:pPr>
  </w:style>
  <w:style w:type="paragraph" w:styleId="Caption">
    <w:name w:val="caption"/>
    <w:aliases w:val="headings,CPR Caption,Table,Table1,Figure1,headings1 Char,headings1"/>
    <w:basedOn w:val="Normal"/>
    <w:next w:val="BodyText"/>
    <w:unhideWhenUsed/>
    <w:qFormat/>
    <w:rsid w:val="00192B5C"/>
    <w:pPr>
      <w:keepNext/>
      <w:spacing w:before="360" w:after="120" w:line="240" w:lineRule="auto"/>
    </w:pPr>
    <w:rPr>
      <w:rFonts w:ascii="Arial" w:hAnsi="Arial"/>
      <w:b/>
      <w:bCs/>
      <w:szCs w:val="18"/>
    </w:rPr>
  </w:style>
  <w:style w:type="paragraph" w:styleId="ListParagraph">
    <w:name w:val="List Paragraph"/>
    <w:aliases w:val="Indent Paragraph,Citation List,Bullets,References,body bullets,List Paragraph (numbered (a)),List Paragraph nowy,Liste 1,WB List Paragraph,List Paragraph1,Ha,Dot pt,F5 List Paragraph,No Spacing1,List Paragraph Char Char Char"/>
    <w:basedOn w:val="Normal"/>
    <w:link w:val="ListParagraphChar"/>
    <w:uiPriority w:val="34"/>
    <w:qFormat/>
    <w:pPr>
      <w:ind w:left="720"/>
      <w:contextualSpacing/>
    </w:pPr>
  </w:style>
  <w:style w:type="character" w:customStyle="1" w:styleId="ListParagraphChar">
    <w:name w:val="List Paragraph Char"/>
    <w:aliases w:val="Indent Paragraph Char,Citation List Char,Bullets Char,References Char,body bullets Char,List Paragraph (numbered (a)) Char,List Paragraph nowy Char,Liste 1 Char,WB List Paragraph Char,List Paragraph1 Char,Ha Char,Dot pt Char"/>
    <w:basedOn w:val="DefaultParagraphFont"/>
    <w:link w:val="ListParagraph"/>
    <w:uiPriority w:val="34"/>
    <w:qFormat/>
    <w:rPr>
      <w:rFonts w:ascii="Times" w:hAnsi="Times"/>
      <w:sz w:val="22"/>
      <w:szCs w:val="24"/>
    </w:rPr>
  </w:style>
  <w:style w:type="paragraph" w:customStyle="1" w:styleId="AnnexCoverHeading">
    <w:name w:val="Annex Cover Heading"/>
    <w:basedOn w:val="Heading1"/>
    <w:next w:val="AnnexCoverSubHeading"/>
    <w:link w:val="AnnexCoverHeadingChar"/>
    <w:pPr>
      <w:numPr>
        <w:numId w:val="3"/>
      </w:numPr>
      <w:jc w:val="right"/>
    </w:pPr>
    <w:rPr>
      <w:color w:val="002060"/>
      <w:sz w:val="72"/>
      <w:szCs w:val="72"/>
    </w:rPr>
  </w:style>
  <w:style w:type="character" w:customStyle="1" w:styleId="AnnexCoverHeadingChar">
    <w:name w:val="Annex Cover Heading Char"/>
    <w:basedOn w:val="Heading1Char"/>
    <w:link w:val="AnnexCoverHeading"/>
    <w:rPr>
      <w:rFonts w:ascii="Arial" w:eastAsia="Times New Roman" w:hAnsi="Arial" w:cs="Arial"/>
      <w:bCs/>
      <w:color w:val="002060"/>
      <w:kern w:val="32"/>
      <w:sz w:val="72"/>
      <w:szCs w:val="72"/>
      <w:lang w:bidi="en-US"/>
    </w:rPr>
  </w:style>
  <w:style w:type="paragraph" w:customStyle="1" w:styleId="MDFTableText">
    <w:name w:val="MDF TableText"/>
    <w:basedOn w:val="Normal"/>
    <w:link w:val="MDFTableTextChar"/>
    <w:pPr>
      <w:widowControl w:val="0"/>
      <w:tabs>
        <w:tab w:val="left" w:pos="220"/>
      </w:tabs>
      <w:spacing w:after="0" w:line="240" w:lineRule="auto"/>
    </w:pPr>
    <w:rPr>
      <w:rFonts w:ascii="Arial Narrow" w:hAnsi="Arial Narrow"/>
      <w:sz w:val="18"/>
    </w:rPr>
  </w:style>
  <w:style w:type="character" w:customStyle="1" w:styleId="MDFTableTextChar">
    <w:name w:val="MDF TableText Char"/>
    <w:basedOn w:val="DefaultParagraphFont"/>
    <w:link w:val="MDFTableText"/>
    <w:rPr>
      <w:rFonts w:ascii="Arial Narrow" w:eastAsia="Times New Roman" w:hAnsi="Arial Narrow" w:cs="ArialMT"/>
      <w:sz w:val="18"/>
      <w:szCs w:val="24"/>
      <w:lang w:bidi="en-US"/>
    </w:rPr>
  </w:style>
  <w:style w:type="paragraph" w:customStyle="1" w:styleId="NumberedList">
    <w:name w:val="Numbered List"/>
    <w:basedOn w:val="Normal"/>
    <w:link w:val="NumberedListChar"/>
    <w:pPr>
      <w:widowControl w:val="0"/>
      <w:numPr>
        <w:numId w:val="2"/>
      </w:numPr>
      <w:tabs>
        <w:tab w:val="left" w:pos="220"/>
      </w:tabs>
      <w:spacing w:after="60" w:line="276" w:lineRule="auto"/>
      <w:ind w:left="714" w:hanging="357"/>
    </w:pPr>
  </w:style>
  <w:style w:type="character" w:customStyle="1" w:styleId="NumberedListChar">
    <w:name w:val="Numbered List Char"/>
    <w:basedOn w:val="DefaultParagraphFont"/>
    <w:link w:val="NumberedList"/>
    <w:rPr>
      <w:rFonts w:ascii="Helvetica" w:eastAsia="Times New Roman" w:hAnsi="Helvetica" w:cs="ArialMT"/>
      <w:sz w:val="22"/>
      <w:szCs w:val="22"/>
      <w:lang w:bidi="en-US"/>
    </w:rPr>
  </w:style>
  <w:style w:type="paragraph" w:customStyle="1" w:styleId="Mainbullet">
    <w:name w:val="Main bullet"/>
    <w:basedOn w:val="Normal"/>
    <w:link w:val="MainbulletChar"/>
    <w:pPr>
      <w:widowControl w:val="0"/>
      <w:spacing w:after="280" w:line="280" w:lineRule="atLeast"/>
      <w:ind w:left="720" w:hanging="648"/>
      <w:jc w:val="both"/>
    </w:pPr>
  </w:style>
  <w:style w:type="character" w:customStyle="1" w:styleId="MainbulletChar">
    <w:name w:val="Main bullet Char"/>
    <w:basedOn w:val="DefaultParagraphFont"/>
    <w:link w:val="Mainbullet"/>
    <w:rPr>
      <w:rFonts w:ascii="Times" w:eastAsia="Times New Roman" w:hAnsi="Times" w:cs="ArialMT"/>
      <w:sz w:val="22"/>
      <w:szCs w:val="22"/>
      <w:lang w:bidi="en-US"/>
    </w:rPr>
  </w:style>
  <w:style w:type="paragraph" w:customStyle="1" w:styleId="Sub-Bullets">
    <w:name w:val="Sub-Bullets"/>
    <w:basedOn w:val="ListParagraph"/>
    <w:link w:val="Sub-BulletsChar"/>
    <w:pPr>
      <w:spacing w:line="276" w:lineRule="auto"/>
      <w:ind w:hanging="360"/>
    </w:pPr>
  </w:style>
  <w:style w:type="character" w:customStyle="1" w:styleId="Sub-BulletsChar">
    <w:name w:val="Sub-Bullets Char"/>
    <w:basedOn w:val="ListParagraphChar"/>
    <w:link w:val="Sub-Bullets"/>
    <w:rPr>
      <w:rFonts w:ascii="Times" w:hAnsi="Times"/>
      <w:sz w:val="22"/>
      <w:szCs w:val="24"/>
      <w:lang w:bidi="en-US"/>
    </w:rPr>
  </w:style>
  <w:style w:type="paragraph" w:customStyle="1" w:styleId="Figure">
    <w:name w:val="Figure"/>
    <w:basedOn w:val="Heading5"/>
    <w:link w:val="FigureChar"/>
    <w:pPr>
      <w:jc w:val="center"/>
    </w:pPr>
  </w:style>
  <w:style w:type="character" w:customStyle="1" w:styleId="FigureChar">
    <w:name w:val="Figure Char"/>
    <w:aliases w:val="Caption Char,headings Char,CPR Caption Char,Table Char,Table1 Char,Figure1 Char,headings1 Char Char,headings1 Char1"/>
    <w:basedOn w:val="Heading5Char"/>
    <w:link w:val="Figure"/>
    <w:rPr>
      <w:rFonts w:ascii="Arial Narrow" w:hAnsi="Arial Narrow"/>
      <w:b/>
      <w:color w:val="003366"/>
      <w:sz w:val="26"/>
      <w:szCs w:val="26"/>
    </w:rPr>
  </w:style>
  <w:style w:type="paragraph" w:customStyle="1" w:styleId="ReportTitle">
    <w:name w:val="Report Title"/>
    <w:basedOn w:val="Normal"/>
    <w:link w:val="ReportTitleChar"/>
    <w:rPr>
      <w:rFonts w:ascii="Arial Narrow" w:hAnsi="Arial Narrow"/>
      <w:b/>
      <w:color w:val="00B16B" w:themeColor="text2"/>
      <w:sz w:val="72"/>
    </w:rPr>
  </w:style>
  <w:style w:type="character" w:customStyle="1" w:styleId="ReportTitleChar">
    <w:name w:val="Report Title Char"/>
    <w:basedOn w:val="DefaultParagraphFont"/>
    <w:link w:val="ReportTitle"/>
    <w:rPr>
      <w:rFonts w:ascii="Arial Narrow" w:hAnsi="Arial Narrow"/>
      <w:b/>
      <w:color w:val="00B16B" w:themeColor="text2"/>
      <w:sz w:val="72"/>
      <w:szCs w:val="24"/>
    </w:rPr>
  </w:style>
  <w:style w:type="paragraph" w:customStyle="1" w:styleId="ReportSub-Title">
    <w:name w:val="Report Sub-Title"/>
    <w:basedOn w:val="Normal"/>
    <w:link w:val="ReportSub-TitleChar"/>
    <w:rPr>
      <w:rFonts w:ascii="Arial Narrow" w:hAnsi="Arial Narrow"/>
      <w:color w:val="0B3066"/>
      <w:sz w:val="40"/>
    </w:rPr>
  </w:style>
  <w:style w:type="character" w:customStyle="1" w:styleId="ReportSub-TitleChar">
    <w:name w:val="Report Sub-Title Char"/>
    <w:basedOn w:val="DefaultParagraphFont"/>
    <w:link w:val="ReportSub-Title"/>
    <w:rPr>
      <w:rFonts w:ascii="Arial Narrow" w:hAnsi="Arial Narrow"/>
      <w:color w:val="0B3066"/>
      <w:sz w:val="40"/>
      <w:szCs w:val="24"/>
    </w:rPr>
  </w:style>
  <w:style w:type="table" w:styleId="GridTable1Light-Accent1">
    <w:name w:val="Grid Table 1 Light Accent 1"/>
    <w:basedOn w:val="TableNormal"/>
    <w:uiPriority w:val="46"/>
    <w:rsid w:val="00AB2030"/>
    <w:tblPr>
      <w:tblStyleRowBandSize w:val="1"/>
      <w:tblStyleColBandSize w:val="1"/>
      <w:tblBorders>
        <w:top w:val="single" w:sz="4" w:space="0" w:color="FFE59E" w:themeColor="accent1" w:themeTint="66"/>
        <w:left w:val="single" w:sz="4" w:space="0" w:color="FFE59E" w:themeColor="accent1" w:themeTint="66"/>
        <w:bottom w:val="single" w:sz="4" w:space="0" w:color="FFE59E" w:themeColor="accent1" w:themeTint="66"/>
        <w:right w:val="single" w:sz="4" w:space="0" w:color="FFE59E" w:themeColor="accent1" w:themeTint="66"/>
        <w:insideH w:val="single" w:sz="4" w:space="0" w:color="FFE59E" w:themeColor="accent1" w:themeTint="66"/>
        <w:insideV w:val="single" w:sz="4" w:space="0" w:color="FFE59E" w:themeColor="accent1" w:themeTint="66"/>
      </w:tblBorders>
    </w:tblPr>
    <w:tblStylePr w:type="firstRow">
      <w:rPr>
        <w:b/>
        <w:bCs/>
      </w:rPr>
      <w:tblPr/>
      <w:tcPr>
        <w:tcBorders>
          <w:bottom w:val="single" w:sz="12" w:space="0" w:color="FFD96E" w:themeColor="accent1" w:themeTint="99"/>
        </w:tcBorders>
      </w:tcPr>
    </w:tblStylePr>
    <w:tblStylePr w:type="lastRow">
      <w:rPr>
        <w:b/>
        <w:bCs/>
      </w:rPr>
      <w:tblPr/>
      <w:tcPr>
        <w:tcBorders>
          <w:top w:val="double" w:sz="2" w:space="0" w:color="FFD96E"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B203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ofContentsTitle">
    <w:name w:val="Table of Contents Title"/>
    <w:basedOn w:val="Normal"/>
    <w:next w:val="Normal"/>
    <w:link w:val="TableofContentsTitleChar"/>
    <w:pPr>
      <w:keepNext/>
      <w:widowControl w:val="0"/>
      <w:spacing w:line="240" w:lineRule="auto"/>
      <w:jc w:val="both"/>
    </w:pPr>
    <w:rPr>
      <w:rFonts w:ascii="Arial Narrow" w:hAnsi="Arial Narrow"/>
      <w:b/>
      <w:color w:val="0B3066"/>
      <w:sz w:val="40"/>
    </w:rPr>
  </w:style>
  <w:style w:type="character" w:customStyle="1" w:styleId="TableofContentsTitleChar">
    <w:name w:val="Table of Contents Title Char"/>
    <w:basedOn w:val="DefaultParagraphFont"/>
    <w:link w:val="TableofContentsTitle"/>
    <w:rPr>
      <w:rFonts w:ascii="Arial Narrow" w:eastAsia="Times New Roman" w:hAnsi="Arial Narrow" w:cs="ArialMT"/>
      <w:b/>
      <w:color w:val="0B3066"/>
      <w:sz w:val="40"/>
      <w:szCs w:val="22"/>
      <w:lang w:bidi="en-US"/>
    </w:rPr>
  </w:style>
  <w:style w:type="paragraph" w:customStyle="1" w:styleId="Bullet1">
    <w:name w:val="Bullet 1"/>
    <w:basedOn w:val="ListBullet"/>
    <w:link w:val="Bullet1Char"/>
    <w:qFormat/>
    <w:rsid w:val="00496056"/>
    <w:pPr>
      <w:numPr>
        <w:numId w:val="4"/>
      </w:numPr>
      <w:spacing w:after="120" w:line="276" w:lineRule="auto"/>
    </w:pPr>
  </w:style>
  <w:style w:type="character" w:customStyle="1" w:styleId="Bullet1Char">
    <w:name w:val="Bullet 1 Char"/>
    <w:basedOn w:val="ListBulletChar"/>
    <w:link w:val="Bullet1"/>
    <w:rsid w:val="00496056"/>
    <w:rPr>
      <w:rFonts w:ascii="Helvetica" w:eastAsia="Times New Roman" w:hAnsi="Helvetica" w:cs="ArialMT"/>
      <w:sz w:val="22"/>
      <w:szCs w:val="22"/>
      <w:lang w:bidi="en-US"/>
    </w:rPr>
  </w:style>
  <w:style w:type="paragraph" w:customStyle="1" w:styleId="Bullet2">
    <w:name w:val="Bullet 2"/>
    <w:basedOn w:val="ListParagraph"/>
    <w:link w:val="Bullet2Char"/>
    <w:qFormat/>
    <w:rsid w:val="00496056"/>
    <w:pPr>
      <w:numPr>
        <w:numId w:val="5"/>
      </w:numPr>
      <w:spacing w:after="60" w:line="276" w:lineRule="auto"/>
      <w:ind w:left="993"/>
      <w:contextualSpacing w:val="0"/>
    </w:pPr>
  </w:style>
  <w:style w:type="character" w:customStyle="1" w:styleId="Bullet2Char">
    <w:name w:val="Bullet 2 Char"/>
    <w:basedOn w:val="ListParagraphChar"/>
    <w:link w:val="Bullet2"/>
    <w:rsid w:val="00496056"/>
    <w:rPr>
      <w:rFonts w:ascii="Helvetica" w:eastAsia="Times New Roman" w:hAnsi="Helvetica" w:cs="ArialMT"/>
      <w:sz w:val="22"/>
      <w:szCs w:val="22"/>
      <w:lang w:bidi="en-US"/>
    </w:rPr>
  </w:style>
  <w:style w:type="paragraph" w:customStyle="1" w:styleId="MDFTableHeader">
    <w:name w:val="MDF Table Header"/>
    <w:basedOn w:val="MDFTableText"/>
    <w:pPr>
      <w:spacing w:before="80" w:after="80"/>
      <w:jc w:val="center"/>
    </w:pPr>
    <w:rPr>
      <w:b/>
    </w:rPr>
  </w:style>
  <w:style w:type="paragraph" w:customStyle="1" w:styleId="MDFTableNumber">
    <w:name w:val="MDF Table Number"/>
    <w:basedOn w:val="MDFTableText"/>
    <w:pPr>
      <w:ind w:right="113"/>
      <w:jc w:val="right"/>
    </w:pPr>
  </w:style>
  <w:style w:type="table" w:styleId="LightShading-Accent1">
    <w:name w:val="Light Shading Accent 1"/>
    <w:basedOn w:val="TableNormal"/>
    <w:uiPriority w:val="60"/>
    <w:rsid w:val="001C744B"/>
    <w:rPr>
      <w:color w:val="C99500" w:themeColor="accent1" w:themeShade="BF"/>
    </w:rPr>
    <w:tblPr>
      <w:tblStyleRowBandSize w:val="1"/>
      <w:tblStyleColBandSize w:val="1"/>
      <w:tblBorders>
        <w:top w:val="single" w:sz="8" w:space="0" w:color="FFC10E" w:themeColor="accent1"/>
        <w:bottom w:val="single" w:sz="8" w:space="0" w:color="FFC10E" w:themeColor="accent1"/>
      </w:tblBorders>
    </w:tblPr>
    <w:tblStylePr w:type="firstRow">
      <w:pPr>
        <w:spacing w:before="0" w:after="0" w:line="240" w:lineRule="auto"/>
      </w:pPr>
      <w:rPr>
        <w:b/>
        <w:bCs/>
      </w:rPr>
      <w:tblPr/>
      <w:tcPr>
        <w:tcBorders>
          <w:top w:val="single" w:sz="8" w:space="0" w:color="FFC10E" w:themeColor="accent1"/>
          <w:left w:val="nil"/>
          <w:bottom w:val="single" w:sz="8" w:space="0" w:color="FFC10E" w:themeColor="accent1"/>
          <w:right w:val="nil"/>
          <w:insideH w:val="nil"/>
          <w:insideV w:val="nil"/>
        </w:tcBorders>
      </w:tcPr>
    </w:tblStylePr>
    <w:tblStylePr w:type="lastRow">
      <w:pPr>
        <w:spacing w:before="0" w:after="0" w:line="240" w:lineRule="auto"/>
      </w:pPr>
      <w:rPr>
        <w:b/>
        <w:bCs/>
      </w:rPr>
      <w:tblPr/>
      <w:tcPr>
        <w:tcBorders>
          <w:top w:val="single" w:sz="8" w:space="0" w:color="FFC10E" w:themeColor="accent1"/>
          <w:left w:val="nil"/>
          <w:bottom w:val="single" w:sz="8" w:space="0" w:color="FFC1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3" w:themeFill="accent1" w:themeFillTint="3F"/>
      </w:tcPr>
    </w:tblStylePr>
    <w:tblStylePr w:type="band1Horz">
      <w:tblPr/>
      <w:tcPr>
        <w:tcBorders>
          <w:left w:val="nil"/>
          <w:right w:val="nil"/>
          <w:insideH w:val="nil"/>
          <w:insideV w:val="nil"/>
        </w:tcBorders>
        <w:shd w:val="clear" w:color="auto" w:fill="FFEFC3" w:themeFill="accent1" w:themeFillTint="3F"/>
      </w:tcPr>
    </w:tblStylePr>
  </w:style>
  <w:style w:type="paragraph" w:customStyle="1" w:styleId="MDFBoxtext">
    <w:name w:val="MDF Box text"/>
    <w:basedOn w:val="MDFTableText"/>
    <w:pPr>
      <w:spacing w:after="80"/>
    </w:pPr>
    <w:rPr>
      <w:rFonts w:ascii="Times New Roman" w:hAnsi="Times New Roman"/>
      <w:sz w:val="22"/>
    </w:rPr>
  </w:style>
  <w:style w:type="paragraph" w:customStyle="1" w:styleId="AnnexCoverSubHeading">
    <w:name w:val="Annex Cover Sub Heading"/>
    <w:pPr>
      <w:spacing w:before="360"/>
      <w:jc w:val="right"/>
    </w:pPr>
    <w:rPr>
      <w:rFonts w:ascii="Arial Narrow" w:hAnsi="Arial Narrow"/>
      <w:b/>
      <w:color w:val="002060"/>
      <w:kern w:val="32"/>
      <w:sz w:val="44"/>
      <w:szCs w:val="44"/>
      <w:lang w:bidi="en-US"/>
    </w:rPr>
  </w:style>
  <w:style w:type="table" w:styleId="TableGrid8">
    <w:name w:val="Table Grid 8"/>
    <w:basedOn w:val="TableNormal"/>
    <w:uiPriority w:val="99"/>
    <w:semiHidden/>
    <w:unhideWhenUsed/>
    <w:rsid w:val="00055B7F"/>
    <w:pPr>
      <w:spacing w:after="20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1C744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C744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OUTable">
    <w:name w:val="OU Table"/>
    <w:basedOn w:val="TableGrid8"/>
    <w:uiPriority w:val="99"/>
    <w:rsid w:val="00360226"/>
    <w:rPr>
      <w:rFonts w:ascii="Calibri" w:hAnsi="Calibri"/>
    </w:rPr>
    <w:tblP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Pr>
    <w:tcPr>
      <w:shd w:val="clear" w:color="auto" w:fill="auto"/>
      <w:vAlign w:val="center"/>
    </w:tcPr>
    <w:tblStylePr w:type="firstRow">
      <w:rPr>
        <w:rFonts w:ascii="Calibri" w:hAnsi="Calibri"/>
        <w:b/>
        <w:bCs/>
        <w:i w:val="0"/>
        <w:color w:val="FFFFFF"/>
        <w:sz w:val="22"/>
      </w:rPr>
      <w:tblPr/>
      <w:tcPr>
        <w:tcBorders>
          <w:tl2br w:val="none" w:sz="0" w:space="0" w:color="auto"/>
          <w:tr2bl w:val="none" w:sz="0" w:space="0" w:color="auto"/>
        </w:tcBorders>
        <w:shd w:val="clear" w:color="auto" w:fill="FF000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dTable1Light-Accent4">
    <w:name w:val="Grid Table 1 Light Accent 4"/>
    <w:basedOn w:val="TableNormal"/>
    <w:uiPriority w:val="46"/>
    <w:rsid w:val="00AB203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531CC4"/>
    <w:rPr>
      <w:rFonts w:asciiTheme="minorHAnsi" w:eastAsiaTheme="minorHAnsi" w:hAnsiTheme="minorHAnsi" w:cstheme="minorBidi"/>
      <w:color w:val="1576E4" w:themeColor="text1" w:themeTint="BF"/>
      <w:lang w:eastAsia="ja-JP"/>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5">
    <w:name w:val="List Table 1 Light Accent 5"/>
    <w:basedOn w:val="TableNormal"/>
    <w:uiPriority w:val="46"/>
    <w:rsid w:val="00A54E7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1">
    <w:name w:val="toc 1"/>
    <w:basedOn w:val="Normal"/>
    <w:next w:val="Normal"/>
    <w:autoRedefine/>
    <w:uiPriority w:val="39"/>
    <w:unhideWhenUsed/>
    <w:rsid w:val="00587099"/>
    <w:pPr>
      <w:tabs>
        <w:tab w:val="right" w:leader="dot" w:pos="9054"/>
      </w:tabs>
      <w:spacing w:before="120" w:after="0"/>
    </w:pPr>
    <w:rPr>
      <w:b/>
      <w:bCs/>
      <w:noProof/>
    </w:rPr>
  </w:style>
  <w:style w:type="paragraph" w:styleId="TOC2">
    <w:name w:val="toc 2"/>
    <w:basedOn w:val="Normal"/>
    <w:next w:val="Normal"/>
    <w:autoRedefine/>
    <w:uiPriority w:val="39"/>
    <w:unhideWhenUsed/>
    <w:rsid w:val="009721B3"/>
    <w:pPr>
      <w:spacing w:before="120" w:after="0"/>
      <w:ind w:left="220"/>
    </w:pPr>
    <w:rPr>
      <w:rFonts w:asciiTheme="minorHAnsi" w:hAnsiTheme="minorHAnsi"/>
      <w:b/>
      <w:bCs/>
    </w:rPr>
  </w:style>
  <w:style w:type="character" w:styleId="UnresolvedMention">
    <w:name w:val="Unresolved Mention"/>
    <w:basedOn w:val="DefaultParagraphFont"/>
    <w:uiPriority w:val="99"/>
    <w:rsid w:val="00965ACE"/>
    <w:rPr>
      <w:color w:val="605E5C"/>
      <w:shd w:val="clear" w:color="auto" w:fill="E1DFDD"/>
    </w:rPr>
  </w:style>
  <w:style w:type="paragraph" w:styleId="FootnoteText">
    <w:name w:val="footnote text"/>
    <w:basedOn w:val="Normal"/>
    <w:link w:val="FootnoteTextChar"/>
    <w:uiPriority w:val="99"/>
    <w:semiHidden/>
    <w:unhideWhenUsed/>
    <w:rsid w:val="00A74D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4DFA"/>
    <w:rPr>
      <w:rFonts w:ascii="Helvetica" w:eastAsia="Times New Roman" w:hAnsi="Helvetica" w:cs="ArialMT"/>
      <w:lang w:bidi="en-US"/>
    </w:rPr>
  </w:style>
  <w:style w:type="character" w:styleId="FootnoteReference">
    <w:name w:val="footnote reference"/>
    <w:basedOn w:val="DefaultParagraphFont"/>
    <w:uiPriority w:val="99"/>
    <w:semiHidden/>
    <w:unhideWhenUsed/>
    <w:rsid w:val="00A74DFA"/>
    <w:rPr>
      <w:vertAlign w:val="superscript"/>
    </w:rPr>
  </w:style>
  <w:style w:type="paragraph" w:styleId="Revision">
    <w:name w:val="Revision"/>
    <w:hidden/>
    <w:uiPriority w:val="99"/>
    <w:semiHidden/>
    <w:rsid w:val="00F10DE7"/>
    <w:rPr>
      <w:rFonts w:ascii="Helvetica" w:eastAsia="Times New Roman" w:hAnsi="Helvetica" w:cs="ArialMT"/>
      <w:sz w:val="22"/>
      <w:szCs w:val="22"/>
      <w:lang w:bidi="en-US"/>
    </w:rPr>
  </w:style>
  <w:style w:type="paragraph" w:styleId="NoSpacing">
    <w:name w:val="No Spacing"/>
    <w:uiPriority w:val="1"/>
    <w:qFormat/>
    <w:rsid w:val="00123BB1"/>
    <w:pPr>
      <w:autoSpaceDE w:val="0"/>
      <w:autoSpaceDN w:val="0"/>
      <w:adjustRightInd w:val="0"/>
    </w:pPr>
    <w:rPr>
      <w:rFonts w:ascii="Helvetica" w:eastAsia="Times New Roman" w:hAnsi="Helvetica" w:cs="ArialMT"/>
      <w:sz w:val="22"/>
      <w:szCs w:val="22"/>
      <w:lang w:bidi="en-US"/>
    </w:rPr>
  </w:style>
  <w:style w:type="character" w:styleId="CommentReference">
    <w:name w:val="annotation reference"/>
    <w:basedOn w:val="DefaultParagraphFont"/>
    <w:uiPriority w:val="99"/>
    <w:semiHidden/>
    <w:unhideWhenUsed/>
    <w:rsid w:val="00B530DE"/>
    <w:rPr>
      <w:sz w:val="16"/>
      <w:szCs w:val="16"/>
    </w:rPr>
  </w:style>
  <w:style w:type="paragraph" w:styleId="CommentText">
    <w:name w:val="annotation text"/>
    <w:basedOn w:val="Normal"/>
    <w:link w:val="CommentTextChar"/>
    <w:uiPriority w:val="99"/>
    <w:semiHidden/>
    <w:unhideWhenUsed/>
    <w:rsid w:val="00B530DE"/>
    <w:pPr>
      <w:spacing w:line="240" w:lineRule="auto"/>
    </w:pPr>
    <w:rPr>
      <w:sz w:val="20"/>
      <w:szCs w:val="20"/>
    </w:rPr>
  </w:style>
  <w:style w:type="character" w:customStyle="1" w:styleId="CommentTextChar">
    <w:name w:val="Comment Text Char"/>
    <w:basedOn w:val="DefaultParagraphFont"/>
    <w:link w:val="CommentText"/>
    <w:uiPriority w:val="99"/>
    <w:semiHidden/>
    <w:rsid w:val="00B530DE"/>
    <w:rPr>
      <w:rFonts w:ascii="Helvetica" w:eastAsia="Times New Roman" w:hAnsi="Helvetica" w:cs="ArialMT"/>
      <w:lang w:bidi="en-US"/>
    </w:rPr>
  </w:style>
  <w:style w:type="paragraph" w:styleId="CommentSubject">
    <w:name w:val="annotation subject"/>
    <w:basedOn w:val="CommentText"/>
    <w:next w:val="CommentText"/>
    <w:link w:val="CommentSubjectChar"/>
    <w:uiPriority w:val="99"/>
    <w:semiHidden/>
    <w:unhideWhenUsed/>
    <w:rsid w:val="00B530DE"/>
    <w:rPr>
      <w:b/>
      <w:bCs/>
    </w:rPr>
  </w:style>
  <w:style w:type="character" w:customStyle="1" w:styleId="CommentSubjectChar">
    <w:name w:val="Comment Subject Char"/>
    <w:basedOn w:val="CommentTextChar"/>
    <w:link w:val="CommentSubject"/>
    <w:uiPriority w:val="99"/>
    <w:semiHidden/>
    <w:rsid w:val="00B530DE"/>
    <w:rPr>
      <w:rFonts w:ascii="Helvetica" w:eastAsia="Times New Roman" w:hAnsi="Helvetica" w:cs="ArialMT"/>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4625">
      <w:bodyDiv w:val="1"/>
      <w:marLeft w:val="0"/>
      <w:marRight w:val="0"/>
      <w:marTop w:val="0"/>
      <w:marBottom w:val="0"/>
      <w:divBdr>
        <w:top w:val="none" w:sz="0" w:space="0" w:color="auto"/>
        <w:left w:val="none" w:sz="0" w:space="0" w:color="auto"/>
        <w:bottom w:val="none" w:sz="0" w:space="0" w:color="auto"/>
        <w:right w:val="none" w:sz="0" w:space="0" w:color="auto"/>
      </w:divBdr>
    </w:div>
    <w:div w:id="381247618">
      <w:bodyDiv w:val="1"/>
      <w:marLeft w:val="0"/>
      <w:marRight w:val="0"/>
      <w:marTop w:val="0"/>
      <w:marBottom w:val="0"/>
      <w:divBdr>
        <w:top w:val="none" w:sz="0" w:space="0" w:color="auto"/>
        <w:left w:val="none" w:sz="0" w:space="0" w:color="auto"/>
        <w:bottom w:val="none" w:sz="0" w:space="0" w:color="auto"/>
        <w:right w:val="none" w:sz="0" w:space="0" w:color="auto"/>
      </w:divBdr>
    </w:div>
    <w:div w:id="391928971">
      <w:bodyDiv w:val="1"/>
      <w:marLeft w:val="0"/>
      <w:marRight w:val="0"/>
      <w:marTop w:val="0"/>
      <w:marBottom w:val="0"/>
      <w:divBdr>
        <w:top w:val="none" w:sz="0" w:space="0" w:color="auto"/>
        <w:left w:val="none" w:sz="0" w:space="0" w:color="auto"/>
        <w:bottom w:val="none" w:sz="0" w:space="0" w:color="auto"/>
        <w:right w:val="none" w:sz="0" w:space="0" w:color="auto"/>
      </w:divBdr>
    </w:div>
    <w:div w:id="537746320">
      <w:bodyDiv w:val="1"/>
      <w:marLeft w:val="0"/>
      <w:marRight w:val="0"/>
      <w:marTop w:val="0"/>
      <w:marBottom w:val="0"/>
      <w:divBdr>
        <w:top w:val="none" w:sz="0" w:space="0" w:color="auto"/>
        <w:left w:val="none" w:sz="0" w:space="0" w:color="auto"/>
        <w:bottom w:val="none" w:sz="0" w:space="0" w:color="auto"/>
        <w:right w:val="none" w:sz="0" w:space="0" w:color="auto"/>
      </w:divBdr>
    </w:div>
    <w:div w:id="633368125">
      <w:bodyDiv w:val="1"/>
      <w:marLeft w:val="0"/>
      <w:marRight w:val="0"/>
      <w:marTop w:val="0"/>
      <w:marBottom w:val="0"/>
      <w:divBdr>
        <w:top w:val="none" w:sz="0" w:space="0" w:color="auto"/>
        <w:left w:val="none" w:sz="0" w:space="0" w:color="auto"/>
        <w:bottom w:val="none" w:sz="0" w:space="0" w:color="auto"/>
        <w:right w:val="none" w:sz="0" w:space="0" w:color="auto"/>
      </w:divBdr>
    </w:div>
    <w:div w:id="754324250">
      <w:bodyDiv w:val="1"/>
      <w:marLeft w:val="0"/>
      <w:marRight w:val="0"/>
      <w:marTop w:val="0"/>
      <w:marBottom w:val="0"/>
      <w:divBdr>
        <w:top w:val="none" w:sz="0" w:space="0" w:color="auto"/>
        <w:left w:val="none" w:sz="0" w:space="0" w:color="auto"/>
        <w:bottom w:val="none" w:sz="0" w:space="0" w:color="auto"/>
        <w:right w:val="none" w:sz="0" w:space="0" w:color="auto"/>
      </w:divBdr>
    </w:div>
    <w:div w:id="768548236">
      <w:bodyDiv w:val="1"/>
      <w:marLeft w:val="0"/>
      <w:marRight w:val="0"/>
      <w:marTop w:val="0"/>
      <w:marBottom w:val="0"/>
      <w:divBdr>
        <w:top w:val="none" w:sz="0" w:space="0" w:color="auto"/>
        <w:left w:val="none" w:sz="0" w:space="0" w:color="auto"/>
        <w:bottom w:val="none" w:sz="0" w:space="0" w:color="auto"/>
        <w:right w:val="none" w:sz="0" w:space="0" w:color="auto"/>
      </w:divBdr>
    </w:div>
    <w:div w:id="775103197">
      <w:bodyDiv w:val="1"/>
      <w:marLeft w:val="0"/>
      <w:marRight w:val="0"/>
      <w:marTop w:val="0"/>
      <w:marBottom w:val="0"/>
      <w:divBdr>
        <w:top w:val="none" w:sz="0" w:space="0" w:color="auto"/>
        <w:left w:val="none" w:sz="0" w:space="0" w:color="auto"/>
        <w:bottom w:val="none" w:sz="0" w:space="0" w:color="auto"/>
        <w:right w:val="none" w:sz="0" w:space="0" w:color="auto"/>
      </w:divBdr>
    </w:div>
    <w:div w:id="775758832">
      <w:bodyDiv w:val="1"/>
      <w:marLeft w:val="0"/>
      <w:marRight w:val="0"/>
      <w:marTop w:val="0"/>
      <w:marBottom w:val="0"/>
      <w:divBdr>
        <w:top w:val="none" w:sz="0" w:space="0" w:color="auto"/>
        <w:left w:val="none" w:sz="0" w:space="0" w:color="auto"/>
        <w:bottom w:val="none" w:sz="0" w:space="0" w:color="auto"/>
        <w:right w:val="none" w:sz="0" w:space="0" w:color="auto"/>
      </w:divBdr>
    </w:div>
    <w:div w:id="857475428">
      <w:bodyDiv w:val="1"/>
      <w:marLeft w:val="0"/>
      <w:marRight w:val="0"/>
      <w:marTop w:val="0"/>
      <w:marBottom w:val="0"/>
      <w:divBdr>
        <w:top w:val="none" w:sz="0" w:space="0" w:color="auto"/>
        <w:left w:val="none" w:sz="0" w:space="0" w:color="auto"/>
        <w:bottom w:val="none" w:sz="0" w:space="0" w:color="auto"/>
        <w:right w:val="none" w:sz="0" w:space="0" w:color="auto"/>
      </w:divBdr>
    </w:div>
    <w:div w:id="949243785">
      <w:bodyDiv w:val="1"/>
      <w:marLeft w:val="0"/>
      <w:marRight w:val="0"/>
      <w:marTop w:val="0"/>
      <w:marBottom w:val="0"/>
      <w:divBdr>
        <w:top w:val="none" w:sz="0" w:space="0" w:color="auto"/>
        <w:left w:val="none" w:sz="0" w:space="0" w:color="auto"/>
        <w:bottom w:val="none" w:sz="0" w:space="0" w:color="auto"/>
        <w:right w:val="none" w:sz="0" w:space="0" w:color="auto"/>
      </w:divBdr>
    </w:div>
    <w:div w:id="1138449694">
      <w:bodyDiv w:val="1"/>
      <w:marLeft w:val="0"/>
      <w:marRight w:val="0"/>
      <w:marTop w:val="0"/>
      <w:marBottom w:val="0"/>
      <w:divBdr>
        <w:top w:val="none" w:sz="0" w:space="0" w:color="auto"/>
        <w:left w:val="none" w:sz="0" w:space="0" w:color="auto"/>
        <w:bottom w:val="none" w:sz="0" w:space="0" w:color="auto"/>
        <w:right w:val="none" w:sz="0" w:space="0" w:color="auto"/>
      </w:divBdr>
    </w:div>
    <w:div w:id="1185284452">
      <w:bodyDiv w:val="1"/>
      <w:marLeft w:val="0"/>
      <w:marRight w:val="0"/>
      <w:marTop w:val="0"/>
      <w:marBottom w:val="0"/>
      <w:divBdr>
        <w:top w:val="none" w:sz="0" w:space="0" w:color="auto"/>
        <w:left w:val="none" w:sz="0" w:space="0" w:color="auto"/>
        <w:bottom w:val="none" w:sz="0" w:space="0" w:color="auto"/>
        <w:right w:val="none" w:sz="0" w:space="0" w:color="auto"/>
      </w:divBdr>
      <w:divsChild>
        <w:div w:id="1658805043">
          <w:marLeft w:val="274"/>
          <w:marRight w:val="0"/>
          <w:marTop w:val="150"/>
          <w:marBottom w:val="240"/>
          <w:divBdr>
            <w:top w:val="none" w:sz="0" w:space="0" w:color="auto"/>
            <w:left w:val="none" w:sz="0" w:space="0" w:color="auto"/>
            <w:bottom w:val="none" w:sz="0" w:space="0" w:color="auto"/>
            <w:right w:val="none" w:sz="0" w:space="0" w:color="auto"/>
          </w:divBdr>
        </w:div>
      </w:divsChild>
    </w:div>
    <w:div w:id="1243415573">
      <w:bodyDiv w:val="1"/>
      <w:marLeft w:val="0"/>
      <w:marRight w:val="0"/>
      <w:marTop w:val="0"/>
      <w:marBottom w:val="0"/>
      <w:divBdr>
        <w:top w:val="none" w:sz="0" w:space="0" w:color="auto"/>
        <w:left w:val="none" w:sz="0" w:space="0" w:color="auto"/>
        <w:bottom w:val="none" w:sz="0" w:space="0" w:color="auto"/>
        <w:right w:val="none" w:sz="0" w:space="0" w:color="auto"/>
      </w:divBdr>
    </w:div>
    <w:div w:id="1259369317">
      <w:bodyDiv w:val="1"/>
      <w:marLeft w:val="0"/>
      <w:marRight w:val="0"/>
      <w:marTop w:val="0"/>
      <w:marBottom w:val="0"/>
      <w:divBdr>
        <w:top w:val="none" w:sz="0" w:space="0" w:color="auto"/>
        <w:left w:val="none" w:sz="0" w:space="0" w:color="auto"/>
        <w:bottom w:val="none" w:sz="0" w:space="0" w:color="auto"/>
        <w:right w:val="none" w:sz="0" w:space="0" w:color="auto"/>
      </w:divBdr>
    </w:div>
    <w:div w:id="1277711574">
      <w:bodyDiv w:val="1"/>
      <w:marLeft w:val="0"/>
      <w:marRight w:val="0"/>
      <w:marTop w:val="0"/>
      <w:marBottom w:val="0"/>
      <w:divBdr>
        <w:top w:val="none" w:sz="0" w:space="0" w:color="auto"/>
        <w:left w:val="none" w:sz="0" w:space="0" w:color="auto"/>
        <w:bottom w:val="none" w:sz="0" w:space="0" w:color="auto"/>
        <w:right w:val="none" w:sz="0" w:space="0" w:color="auto"/>
      </w:divBdr>
    </w:div>
    <w:div w:id="1439060669">
      <w:bodyDiv w:val="1"/>
      <w:marLeft w:val="0"/>
      <w:marRight w:val="0"/>
      <w:marTop w:val="0"/>
      <w:marBottom w:val="0"/>
      <w:divBdr>
        <w:top w:val="none" w:sz="0" w:space="0" w:color="auto"/>
        <w:left w:val="none" w:sz="0" w:space="0" w:color="auto"/>
        <w:bottom w:val="none" w:sz="0" w:space="0" w:color="auto"/>
        <w:right w:val="none" w:sz="0" w:space="0" w:color="auto"/>
      </w:divBdr>
      <w:divsChild>
        <w:div w:id="30107016">
          <w:marLeft w:val="0"/>
          <w:marRight w:val="0"/>
          <w:marTop w:val="0"/>
          <w:marBottom w:val="0"/>
          <w:divBdr>
            <w:top w:val="none" w:sz="0" w:space="0" w:color="auto"/>
            <w:left w:val="none" w:sz="0" w:space="0" w:color="auto"/>
            <w:bottom w:val="none" w:sz="0" w:space="0" w:color="auto"/>
            <w:right w:val="none" w:sz="0" w:space="0" w:color="auto"/>
          </w:divBdr>
        </w:div>
        <w:div w:id="37825573">
          <w:marLeft w:val="0"/>
          <w:marRight w:val="0"/>
          <w:marTop w:val="0"/>
          <w:marBottom w:val="0"/>
          <w:divBdr>
            <w:top w:val="none" w:sz="0" w:space="0" w:color="auto"/>
            <w:left w:val="none" w:sz="0" w:space="0" w:color="auto"/>
            <w:bottom w:val="none" w:sz="0" w:space="0" w:color="auto"/>
            <w:right w:val="none" w:sz="0" w:space="0" w:color="auto"/>
          </w:divBdr>
        </w:div>
        <w:div w:id="140118572">
          <w:marLeft w:val="0"/>
          <w:marRight w:val="0"/>
          <w:marTop w:val="0"/>
          <w:marBottom w:val="0"/>
          <w:divBdr>
            <w:top w:val="none" w:sz="0" w:space="0" w:color="auto"/>
            <w:left w:val="none" w:sz="0" w:space="0" w:color="auto"/>
            <w:bottom w:val="none" w:sz="0" w:space="0" w:color="auto"/>
            <w:right w:val="none" w:sz="0" w:space="0" w:color="auto"/>
          </w:divBdr>
        </w:div>
        <w:div w:id="331835521">
          <w:marLeft w:val="0"/>
          <w:marRight w:val="0"/>
          <w:marTop w:val="0"/>
          <w:marBottom w:val="0"/>
          <w:divBdr>
            <w:top w:val="none" w:sz="0" w:space="0" w:color="auto"/>
            <w:left w:val="none" w:sz="0" w:space="0" w:color="auto"/>
            <w:bottom w:val="none" w:sz="0" w:space="0" w:color="auto"/>
            <w:right w:val="none" w:sz="0" w:space="0" w:color="auto"/>
          </w:divBdr>
        </w:div>
        <w:div w:id="393309335">
          <w:marLeft w:val="0"/>
          <w:marRight w:val="0"/>
          <w:marTop w:val="0"/>
          <w:marBottom w:val="0"/>
          <w:divBdr>
            <w:top w:val="none" w:sz="0" w:space="0" w:color="auto"/>
            <w:left w:val="none" w:sz="0" w:space="0" w:color="auto"/>
            <w:bottom w:val="none" w:sz="0" w:space="0" w:color="auto"/>
            <w:right w:val="none" w:sz="0" w:space="0" w:color="auto"/>
          </w:divBdr>
        </w:div>
        <w:div w:id="614487710">
          <w:marLeft w:val="0"/>
          <w:marRight w:val="0"/>
          <w:marTop w:val="0"/>
          <w:marBottom w:val="0"/>
          <w:divBdr>
            <w:top w:val="none" w:sz="0" w:space="0" w:color="auto"/>
            <w:left w:val="none" w:sz="0" w:space="0" w:color="auto"/>
            <w:bottom w:val="none" w:sz="0" w:space="0" w:color="auto"/>
            <w:right w:val="none" w:sz="0" w:space="0" w:color="auto"/>
          </w:divBdr>
        </w:div>
        <w:div w:id="694424765">
          <w:marLeft w:val="0"/>
          <w:marRight w:val="0"/>
          <w:marTop w:val="0"/>
          <w:marBottom w:val="0"/>
          <w:divBdr>
            <w:top w:val="none" w:sz="0" w:space="0" w:color="auto"/>
            <w:left w:val="none" w:sz="0" w:space="0" w:color="auto"/>
            <w:bottom w:val="none" w:sz="0" w:space="0" w:color="auto"/>
            <w:right w:val="none" w:sz="0" w:space="0" w:color="auto"/>
          </w:divBdr>
        </w:div>
        <w:div w:id="913852047">
          <w:marLeft w:val="0"/>
          <w:marRight w:val="0"/>
          <w:marTop w:val="0"/>
          <w:marBottom w:val="0"/>
          <w:divBdr>
            <w:top w:val="none" w:sz="0" w:space="0" w:color="auto"/>
            <w:left w:val="none" w:sz="0" w:space="0" w:color="auto"/>
            <w:bottom w:val="none" w:sz="0" w:space="0" w:color="auto"/>
            <w:right w:val="none" w:sz="0" w:space="0" w:color="auto"/>
          </w:divBdr>
        </w:div>
        <w:div w:id="937253493">
          <w:marLeft w:val="0"/>
          <w:marRight w:val="0"/>
          <w:marTop w:val="0"/>
          <w:marBottom w:val="0"/>
          <w:divBdr>
            <w:top w:val="none" w:sz="0" w:space="0" w:color="auto"/>
            <w:left w:val="none" w:sz="0" w:space="0" w:color="auto"/>
            <w:bottom w:val="none" w:sz="0" w:space="0" w:color="auto"/>
            <w:right w:val="none" w:sz="0" w:space="0" w:color="auto"/>
          </w:divBdr>
        </w:div>
        <w:div w:id="976032918">
          <w:marLeft w:val="0"/>
          <w:marRight w:val="0"/>
          <w:marTop w:val="0"/>
          <w:marBottom w:val="0"/>
          <w:divBdr>
            <w:top w:val="none" w:sz="0" w:space="0" w:color="auto"/>
            <w:left w:val="none" w:sz="0" w:space="0" w:color="auto"/>
            <w:bottom w:val="none" w:sz="0" w:space="0" w:color="auto"/>
            <w:right w:val="none" w:sz="0" w:space="0" w:color="auto"/>
          </w:divBdr>
        </w:div>
        <w:div w:id="1060713568">
          <w:marLeft w:val="0"/>
          <w:marRight w:val="0"/>
          <w:marTop w:val="0"/>
          <w:marBottom w:val="0"/>
          <w:divBdr>
            <w:top w:val="none" w:sz="0" w:space="0" w:color="auto"/>
            <w:left w:val="none" w:sz="0" w:space="0" w:color="auto"/>
            <w:bottom w:val="none" w:sz="0" w:space="0" w:color="auto"/>
            <w:right w:val="none" w:sz="0" w:space="0" w:color="auto"/>
          </w:divBdr>
        </w:div>
        <w:div w:id="1186215146">
          <w:marLeft w:val="0"/>
          <w:marRight w:val="0"/>
          <w:marTop w:val="0"/>
          <w:marBottom w:val="0"/>
          <w:divBdr>
            <w:top w:val="none" w:sz="0" w:space="0" w:color="auto"/>
            <w:left w:val="none" w:sz="0" w:space="0" w:color="auto"/>
            <w:bottom w:val="none" w:sz="0" w:space="0" w:color="auto"/>
            <w:right w:val="none" w:sz="0" w:space="0" w:color="auto"/>
          </w:divBdr>
        </w:div>
        <w:div w:id="1442262355">
          <w:marLeft w:val="0"/>
          <w:marRight w:val="0"/>
          <w:marTop w:val="0"/>
          <w:marBottom w:val="0"/>
          <w:divBdr>
            <w:top w:val="none" w:sz="0" w:space="0" w:color="auto"/>
            <w:left w:val="none" w:sz="0" w:space="0" w:color="auto"/>
            <w:bottom w:val="none" w:sz="0" w:space="0" w:color="auto"/>
            <w:right w:val="none" w:sz="0" w:space="0" w:color="auto"/>
          </w:divBdr>
        </w:div>
        <w:div w:id="1479375027">
          <w:marLeft w:val="0"/>
          <w:marRight w:val="0"/>
          <w:marTop w:val="0"/>
          <w:marBottom w:val="0"/>
          <w:divBdr>
            <w:top w:val="none" w:sz="0" w:space="0" w:color="auto"/>
            <w:left w:val="none" w:sz="0" w:space="0" w:color="auto"/>
            <w:bottom w:val="none" w:sz="0" w:space="0" w:color="auto"/>
            <w:right w:val="none" w:sz="0" w:space="0" w:color="auto"/>
          </w:divBdr>
        </w:div>
        <w:div w:id="2025128607">
          <w:marLeft w:val="0"/>
          <w:marRight w:val="0"/>
          <w:marTop w:val="0"/>
          <w:marBottom w:val="0"/>
          <w:divBdr>
            <w:top w:val="none" w:sz="0" w:space="0" w:color="auto"/>
            <w:left w:val="none" w:sz="0" w:space="0" w:color="auto"/>
            <w:bottom w:val="none" w:sz="0" w:space="0" w:color="auto"/>
            <w:right w:val="none" w:sz="0" w:space="0" w:color="auto"/>
          </w:divBdr>
        </w:div>
        <w:div w:id="2115241507">
          <w:marLeft w:val="0"/>
          <w:marRight w:val="0"/>
          <w:marTop w:val="0"/>
          <w:marBottom w:val="0"/>
          <w:divBdr>
            <w:top w:val="none" w:sz="0" w:space="0" w:color="auto"/>
            <w:left w:val="none" w:sz="0" w:space="0" w:color="auto"/>
            <w:bottom w:val="none" w:sz="0" w:space="0" w:color="auto"/>
            <w:right w:val="none" w:sz="0" w:space="0" w:color="auto"/>
          </w:divBdr>
        </w:div>
      </w:divsChild>
    </w:div>
    <w:div w:id="1541894128">
      <w:bodyDiv w:val="1"/>
      <w:marLeft w:val="0"/>
      <w:marRight w:val="0"/>
      <w:marTop w:val="0"/>
      <w:marBottom w:val="0"/>
      <w:divBdr>
        <w:top w:val="none" w:sz="0" w:space="0" w:color="auto"/>
        <w:left w:val="none" w:sz="0" w:space="0" w:color="auto"/>
        <w:bottom w:val="none" w:sz="0" w:space="0" w:color="auto"/>
        <w:right w:val="none" w:sz="0" w:space="0" w:color="auto"/>
      </w:divBdr>
    </w:div>
    <w:div w:id="1591740979">
      <w:bodyDiv w:val="1"/>
      <w:marLeft w:val="0"/>
      <w:marRight w:val="0"/>
      <w:marTop w:val="0"/>
      <w:marBottom w:val="0"/>
      <w:divBdr>
        <w:top w:val="none" w:sz="0" w:space="0" w:color="auto"/>
        <w:left w:val="none" w:sz="0" w:space="0" w:color="auto"/>
        <w:bottom w:val="none" w:sz="0" w:space="0" w:color="auto"/>
        <w:right w:val="none" w:sz="0" w:space="0" w:color="auto"/>
      </w:divBdr>
      <w:divsChild>
        <w:div w:id="2015960791">
          <w:marLeft w:val="274"/>
          <w:marRight w:val="0"/>
          <w:marTop w:val="150"/>
          <w:marBottom w:val="240"/>
          <w:divBdr>
            <w:top w:val="none" w:sz="0" w:space="0" w:color="auto"/>
            <w:left w:val="none" w:sz="0" w:space="0" w:color="auto"/>
            <w:bottom w:val="none" w:sz="0" w:space="0" w:color="auto"/>
            <w:right w:val="none" w:sz="0" w:space="0" w:color="auto"/>
          </w:divBdr>
        </w:div>
        <w:div w:id="1834488857">
          <w:marLeft w:val="274"/>
          <w:marRight w:val="0"/>
          <w:marTop w:val="150"/>
          <w:marBottom w:val="240"/>
          <w:divBdr>
            <w:top w:val="none" w:sz="0" w:space="0" w:color="auto"/>
            <w:left w:val="none" w:sz="0" w:space="0" w:color="auto"/>
            <w:bottom w:val="none" w:sz="0" w:space="0" w:color="auto"/>
            <w:right w:val="none" w:sz="0" w:space="0" w:color="auto"/>
          </w:divBdr>
        </w:div>
        <w:div w:id="1625192411">
          <w:marLeft w:val="274"/>
          <w:marRight w:val="0"/>
          <w:marTop w:val="150"/>
          <w:marBottom w:val="240"/>
          <w:divBdr>
            <w:top w:val="none" w:sz="0" w:space="0" w:color="auto"/>
            <w:left w:val="none" w:sz="0" w:space="0" w:color="auto"/>
            <w:bottom w:val="none" w:sz="0" w:space="0" w:color="auto"/>
            <w:right w:val="none" w:sz="0" w:space="0" w:color="auto"/>
          </w:divBdr>
        </w:div>
        <w:div w:id="1383553969">
          <w:marLeft w:val="274"/>
          <w:marRight w:val="0"/>
          <w:marTop w:val="150"/>
          <w:marBottom w:val="240"/>
          <w:divBdr>
            <w:top w:val="none" w:sz="0" w:space="0" w:color="auto"/>
            <w:left w:val="none" w:sz="0" w:space="0" w:color="auto"/>
            <w:bottom w:val="none" w:sz="0" w:space="0" w:color="auto"/>
            <w:right w:val="none" w:sz="0" w:space="0" w:color="auto"/>
          </w:divBdr>
        </w:div>
        <w:div w:id="1205288637">
          <w:marLeft w:val="274"/>
          <w:marRight w:val="0"/>
          <w:marTop w:val="150"/>
          <w:marBottom w:val="240"/>
          <w:divBdr>
            <w:top w:val="none" w:sz="0" w:space="0" w:color="auto"/>
            <w:left w:val="none" w:sz="0" w:space="0" w:color="auto"/>
            <w:bottom w:val="none" w:sz="0" w:space="0" w:color="auto"/>
            <w:right w:val="none" w:sz="0" w:space="0" w:color="auto"/>
          </w:divBdr>
        </w:div>
        <w:div w:id="765732826">
          <w:marLeft w:val="274"/>
          <w:marRight w:val="0"/>
          <w:marTop w:val="150"/>
          <w:marBottom w:val="240"/>
          <w:divBdr>
            <w:top w:val="none" w:sz="0" w:space="0" w:color="auto"/>
            <w:left w:val="none" w:sz="0" w:space="0" w:color="auto"/>
            <w:bottom w:val="none" w:sz="0" w:space="0" w:color="auto"/>
            <w:right w:val="none" w:sz="0" w:space="0" w:color="auto"/>
          </w:divBdr>
        </w:div>
      </w:divsChild>
    </w:div>
    <w:div w:id="1724132877">
      <w:bodyDiv w:val="1"/>
      <w:marLeft w:val="0"/>
      <w:marRight w:val="0"/>
      <w:marTop w:val="0"/>
      <w:marBottom w:val="0"/>
      <w:divBdr>
        <w:top w:val="none" w:sz="0" w:space="0" w:color="auto"/>
        <w:left w:val="none" w:sz="0" w:space="0" w:color="auto"/>
        <w:bottom w:val="none" w:sz="0" w:space="0" w:color="auto"/>
        <w:right w:val="none" w:sz="0" w:space="0" w:color="auto"/>
      </w:divBdr>
    </w:div>
    <w:div w:id="1803620131">
      <w:bodyDiv w:val="1"/>
      <w:marLeft w:val="0"/>
      <w:marRight w:val="0"/>
      <w:marTop w:val="0"/>
      <w:marBottom w:val="0"/>
      <w:divBdr>
        <w:top w:val="none" w:sz="0" w:space="0" w:color="auto"/>
        <w:left w:val="none" w:sz="0" w:space="0" w:color="auto"/>
        <w:bottom w:val="none" w:sz="0" w:space="0" w:color="auto"/>
        <w:right w:val="none" w:sz="0" w:space="0" w:color="auto"/>
      </w:divBdr>
    </w:div>
    <w:div w:id="1841043209">
      <w:bodyDiv w:val="1"/>
      <w:marLeft w:val="0"/>
      <w:marRight w:val="0"/>
      <w:marTop w:val="0"/>
      <w:marBottom w:val="0"/>
      <w:divBdr>
        <w:top w:val="none" w:sz="0" w:space="0" w:color="auto"/>
        <w:left w:val="none" w:sz="0" w:space="0" w:color="auto"/>
        <w:bottom w:val="none" w:sz="0" w:space="0" w:color="auto"/>
        <w:right w:val="none" w:sz="0" w:space="0" w:color="auto"/>
      </w:divBdr>
    </w:div>
    <w:div w:id="2104259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diagramLayout" Target="diagrams/layout3.xml"/><Relationship Id="rId21" Type="http://schemas.openxmlformats.org/officeDocument/2006/relationships/image" Target="media/image4.png"/><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emf"/><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diagramColors" Target="diagrams/colors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hyperlink" Target="https://www.environment.gov.au/system/files/resources/3584ed44-4afb-4985-b7a5-5f3e3ec9b94d/files/wildlife-trade-permi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diagramQuickStyle" Target="diagrams/quickStyle2.xm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biodiversityfinance.org" TargetMode="External"/><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18.emf"/><Relationship Id="rId20" Type="http://schemas.openxmlformats.org/officeDocument/2006/relationships/image" Target="media/image3.emf"/><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BB68F9-1077-4186-9C46-C31756D80F5E}"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en-ZA"/>
        </a:p>
      </dgm:t>
    </dgm:pt>
    <dgm:pt modelId="{D8798DB9-2B5F-45D3-B421-86D982873A31}">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rgbClr val="00B050"/>
        </a:solidFill>
      </dgm:spPr>
      <dgm:t>
        <a:bodyPr/>
        <a:lstStyle/>
        <a:p>
          <a:r>
            <a:rPr lang="en-ZA" sz="1000" b="1">
              <a:solidFill>
                <a:srgbClr val="FFFFFF"/>
              </a:solidFill>
              <a:latin typeface="+mj-lt"/>
            </a:rPr>
            <a:t>Baseline Report</a:t>
          </a:r>
        </a:p>
      </dgm:t>
    </dgm:pt>
    <dgm:pt modelId="{2CE00A93-6045-4C63-A284-E7152A1D8D86}" type="parTrans" cxnId="{AF18B6AB-251A-4CE0-99E7-DAB5B769A218}">
      <dgm:prSet/>
      <dgm:spPr/>
      <dgm:t>
        <a:bodyPr/>
        <a:lstStyle/>
        <a:p>
          <a:endParaRPr lang="en-ZA"/>
        </a:p>
      </dgm:t>
    </dgm:pt>
    <dgm:pt modelId="{4150B24A-FFBC-4858-B5AD-AD6A9155C7CC}" type="sibTrans" cxnId="{AF18B6AB-251A-4CE0-99E7-DAB5B769A218}">
      <dgm:prSet/>
      <dgm:spPr/>
      <dgm:t>
        <a:bodyPr/>
        <a:lstStyle/>
        <a:p>
          <a:endParaRPr lang="en-ZA"/>
        </a:p>
      </dgm:t>
    </dgm:pt>
    <dgm:pt modelId="{9DBF608D-5180-4BFA-81DB-195E9DEE6172}">
      <dgm:prSet phldrT="[Text]" custT="1">
        <dgm:style>
          <a:lnRef idx="1">
            <a:schemeClr val="dk1"/>
          </a:lnRef>
          <a:fillRef idx="2">
            <a:schemeClr val="dk1"/>
          </a:fillRef>
          <a:effectRef idx="1">
            <a:schemeClr val="dk1"/>
          </a:effectRef>
          <a:fontRef idx="minor">
            <a:schemeClr val="dk1"/>
          </a:fontRef>
        </dgm:style>
      </dgm:prSet>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Legislative context and issuing authorities profiles.</a:t>
          </a:r>
          <a:endParaRPr lang="en-ZA" sz="900">
            <a:solidFill>
              <a:sysClr val="windowText" lastClr="000000"/>
            </a:solidFill>
            <a:latin typeface="Arial" panose="020B0604020202020204" pitchFamily="34" charset="0"/>
            <a:cs typeface="Arial" panose="020B0604020202020204" pitchFamily="34" charset="0"/>
          </a:endParaRPr>
        </a:p>
      </dgm:t>
    </dgm:pt>
    <dgm:pt modelId="{C7A0DF6F-7A49-46BD-AA81-5A7833736361}" type="parTrans" cxnId="{1C690823-FEE4-40EF-9025-14A270C189FA}">
      <dgm:prSet/>
      <dgm:spPr/>
      <dgm:t>
        <a:bodyPr/>
        <a:lstStyle/>
        <a:p>
          <a:endParaRPr lang="en-ZA"/>
        </a:p>
      </dgm:t>
    </dgm:pt>
    <dgm:pt modelId="{2A4B2417-A4F9-4573-AC7B-B24EBD103031}" type="sibTrans" cxnId="{1C690823-FEE4-40EF-9025-14A270C189FA}">
      <dgm:prSet/>
      <dgm:spPr/>
      <dgm:t>
        <a:bodyPr/>
        <a:lstStyle/>
        <a:p>
          <a:endParaRPr lang="en-ZA"/>
        </a:p>
      </dgm:t>
    </dgm:pt>
    <dgm:pt modelId="{E8B06371-5162-490B-BE30-BB7C1320A33B}">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rgbClr val="00B050"/>
        </a:solidFill>
      </dgm:spPr>
      <dgm:t>
        <a:bodyPr/>
        <a:lstStyle/>
        <a:p>
          <a:r>
            <a:rPr lang="en-ZA" sz="1000" b="1">
              <a:solidFill>
                <a:srgbClr val="FFFFFF"/>
              </a:solidFill>
              <a:latin typeface="+mj-lt"/>
            </a:rPr>
            <a:t>Analysis Report</a:t>
          </a:r>
        </a:p>
      </dgm:t>
    </dgm:pt>
    <dgm:pt modelId="{C4794567-0C73-42F8-AE31-17F729875E9D}" type="parTrans" cxnId="{AF203D35-D0CB-4EBA-937C-A97A4F647DAB}">
      <dgm:prSet/>
      <dgm:spPr/>
      <dgm:t>
        <a:bodyPr/>
        <a:lstStyle/>
        <a:p>
          <a:endParaRPr lang="en-ZA"/>
        </a:p>
      </dgm:t>
    </dgm:pt>
    <dgm:pt modelId="{980CA0BA-4BFB-4526-ABB6-D011042025EE}" type="sibTrans" cxnId="{AF203D35-D0CB-4EBA-937C-A97A4F647DAB}">
      <dgm:prSet/>
      <dgm:spPr/>
      <dgm:t>
        <a:bodyPr/>
        <a:lstStyle/>
        <a:p>
          <a:endParaRPr lang="en-ZA"/>
        </a:p>
      </dgm:t>
    </dgm:pt>
    <dgm:pt modelId="{2F1CB3ED-C37F-4470-8064-7640558ACCBF}">
      <dgm:prSet phldrT="[Text]" custT="1">
        <dgm:style>
          <a:lnRef idx="1">
            <a:schemeClr val="dk1"/>
          </a:lnRef>
          <a:fillRef idx="2">
            <a:schemeClr val="dk1"/>
          </a:fillRef>
          <a:effectRef idx="1">
            <a:schemeClr val="dk1"/>
          </a:effectRef>
          <a:fontRef idx="minor">
            <a:schemeClr val="dk1"/>
          </a:fontRef>
        </dgm:style>
      </dgm:prSet>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Requirements of government financial management and lessons from similar SA fees. </a:t>
          </a:r>
          <a:endParaRPr lang="en-ZA" sz="900">
            <a:solidFill>
              <a:sysClr val="windowText" lastClr="000000"/>
            </a:solidFill>
            <a:latin typeface="Arial" panose="020B0604020202020204" pitchFamily="34" charset="0"/>
            <a:cs typeface="Arial" panose="020B0604020202020204" pitchFamily="34" charset="0"/>
          </a:endParaRPr>
        </a:p>
      </dgm:t>
    </dgm:pt>
    <dgm:pt modelId="{126E9CA2-D690-4114-9A89-55A977E3069C}" type="parTrans" cxnId="{055866DC-4AFC-4813-A886-647E63E8304C}">
      <dgm:prSet/>
      <dgm:spPr/>
      <dgm:t>
        <a:bodyPr/>
        <a:lstStyle/>
        <a:p>
          <a:endParaRPr lang="en-ZA"/>
        </a:p>
      </dgm:t>
    </dgm:pt>
    <dgm:pt modelId="{589E4E5C-37B2-4237-9F88-CD89D8EE8059}" type="sibTrans" cxnId="{055866DC-4AFC-4813-A886-647E63E8304C}">
      <dgm:prSet/>
      <dgm:spPr/>
      <dgm:t>
        <a:bodyPr/>
        <a:lstStyle/>
        <a:p>
          <a:endParaRPr lang="en-ZA"/>
        </a:p>
      </dgm:t>
    </dgm:pt>
    <dgm:pt modelId="{DEA7E1F9-98FE-487F-9A0A-35AD7F844F14}">
      <dgm:prSet phldrT="[Text]" custT="1">
        <dgm:style>
          <a:lnRef idx="2">
            <a:schemeClr val="accent3">
              <a:shade val="50000"/>
            </a:schemeClr>
          </a:lnRef>
          <a:fillRef idx="1">
            <a:schemeClr val="accent3"/>
          </a:fillRef>
          <a:effectRef idx="0">
            <a:schemeClr val="accent3"/>
          </a:effectRef>
          <a:fontRef idx="minor">
            <a:schemeClr val="lt1"/>
          </a:fontRef>
        </dgm:style>
      </dgm:prSet>
      <dgm:spPr>
        <a:solidFill>
          <a:srgbClr val="00B050"/>
        </a:solidFill>
      </dgm:spPr>
      <dgm:t>
        <a:bodyPr/>
        <a:lstStyle/>
        <a:p>
          <a:r>
            <a:rPr lang="en-ZA" sz="1000" b="1">
              <a:solidFill>
                <a:srgbClr val="FFFFFF"/>
              </a:solidFill>
              <a:latin typeface="+mj-lt"/>
            </a:rPr>
            <a:t>Fee Determination Framework</a:t>
          </a:r>
        </a:p>
      </dgm:t>
    </dgm:pt>
    <dgm:pt modelId="{B61CA807-CE81-467D-BA45-5130B1136287}" type="parTrans" cxnId="{E363F0D2-18F8-4B6A-833E-629E3B900D8E}">
      <dgm:prSet/>
      <dgm:spPr/>
      <dgm:t>
        <a:bodyPr/>
        <a:lstStyle/>
        <a:p>
          <a:endParaRPr lang="en-ZA"/>
        </a:p>
      </dgm:t>
    </dgm:pt>
    <dgm:pt modelId="{236ED920-66F3-4599-951D-5589BC87C3DB}" type="sibTrans" cxnId="{E363F0D2-18F8-4B6A-833E-629E3B900D8E}">
      <dgm:prSet/>
      <dgm:spPr/>
      <dgm:t>
        <a:bodyPr/>
        <a:lstStyle/>
        <a:p>
          <a:endParaRPr lang="en-ZA"/>
        </a:p>
      </dgm:t>
    </dgm:pt>
    <dgm:pt modelId="{0DFBB167-EE16-4DF1-9270-ED9C1AB4C603}">
      <dgm:prSet phldrT="[Text]" custT="1">
        <dgm:style>
          <a:lnRef idx="1">
            <a:schemeClr val="dk1"/>
          </a:lnRef>
          <a:fillRef idx="2">
            <a:schemeClr val="dk1"/>
          </a:fillRef>
          <a:effectRef idx="1">
            <a:schemeClr val="dk1"/>
          </a:effectRef>
          <a:fontRef idx="minor">
            <a:schemeClr val="dk1"/>
          </a:fontRef>
        </dgm:style>
      </dgm:prSet>
      <dgm:spPr>
        <a:solidFill>
          <a:schemeClr val="tx1">
            <a:lumMod val="20000"/>
            <a:lumOff val="80000"/>
          </a:schemeClr>
        </a:solidFill>
      </dgm:spPr>
      <dgm:t>
        <a:bodyPr/>
        <a:lstStyle/>
        <a:p>
          <a:r>
            <a:rPr lang="en-US" sz="900">
              <a:solidFill>
                <a:sysClr val="windowText" lastClr="000000"/>
              </a:solidFill>
              <a:latin typeface="Arial" panose="020B0604020202020204" pitchFamily="34" charset="0"/>
              <a:cs typeface="Arial" panose="020B0604020202020204" pitchFamily="34" charset="0"/>
            </a:rPr>
            <a:t>Broad guidance for the appropriate determination or setting of new or revised fees for national and provincial permits and licences under NEMBA</a:t>
          </a:r>
          <a:r>
            <a:rPr lang="en-US" sz="900">
              <a:latin typeface="Arial" panose="020B0604020202020204" pitchFamily="34" charset="0"/>
              <a:cs typeface="Arial" panose="020B0604020202020204" pitchFamily="34" charset="0"/>
            </a:rPr>
            <a:t>.</a:t>
          </a:r>
          <a:r>
            <a:rPr lang="en-ZA" sz="900">
              <a:latin typeface="Arial" panose="020B0604020202020204" pitchFamily="34" charset="0"/>
              <a:cs typeface="Arial" panose="020B0604020202020204" pitchFamily="34" charset="0"/>
            </a:rPr>
            <a:t> </a:t>
          </a:r>
        </a:p>
      </dgm:t>
    </dgm:pt>
    <dgm:pt modelId="{FF306C91-0826-4044-BBF0-64182242B19B}" type="parTrans" cxnId="{3928FAE1-E8C7-4B30-B925-EEFADF6C8BD7}">
      <dgm:prSet/>
      <dgm:spPr/>
      <dgm:t>
        <a:bodyPr/>
        <a:lstStyle/>
        <a:p>
          <a:endParaRPr lang="en-ZA"/>
        </a:p>
      </dgm:t>
    </dgm:pt>
    <dgm:pt modelId="{CFDFEA44-1B82-44EC-BAD7-8517BF7F627C}" type="sibTrans" cxnId="{3928FAE1-E8C7-4B30-B925-EEFADF6C8BD7}">
      <dgm:prSet/>
      <dgm:spPr/>
      <dgm:t>
        <a:bodyPr/>
        <a:lstStyle/>
        <a:p>
          <a:endParaRPr lang="en-ZA"/>
        </a:p>
      </dgm:t>
    </dgm:pt>
    <dgm:pt modelId="{6185F698-1DC8-43E8-A38B-A949D8AA701A}">
      <dgm:prSet custT="1"/>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Adjustment of permit fee amounts for inflation. </a:t>
          </a:r>
          <a:endParaRPr lang="en-ZA" sz="900">
            <a:solidFill>
              <a:sysClr val="windowText" lastClr="000000"/>
            </a:solidFill>
            <a:latin typeface="Arial" panose="020B0604020202020204" pitchFamily="34" charset="0"/>
            <a:cs typeface="Arial" panose="020B0604020202020204" pitchFamily="34" charset="0"/>
          </a:endParaRPr>
        </a:p>
      </dgm:t>
    </dgm:pt>
    <dgm:pt modelId="{9949387B-04AD-4EE7-B217-11CF3E6AE0CE}" type="parTrans" cxnId="{C50E3161-F568-4814-B5FB-5F07A1B9F520}">
      <dgm:prSet/>
      <dgm:spPr/>
      <dgm:t>
        <a:bodyPr/>
        <a:lstStyle/>
        <a:p>
          <a:endParaRPr lang="en-ZA"/>
        </a:p>
      </dgm:t>
    </dgm:pt>
    <dgm:pt modelId="{BB08C9F4-E86D-40E6-BC53-43E74D1E2CE6}" type="sibTrans" cxnId="{C50E3161-F568-4814-B5FB-5F07A1B9F520}">
      <dgm:prSet/>
      <dgm:spPr/>
      <dgm:t>
        <a:bodyPr/>
        <a:lstStyle/>
        <a:p>
          <a:endParaRPr lang="en-ZA"/>
        </a:p>
      </dgm:t>
    </dgm:pt>
    <dgm:pt modelId="{898C8713-5F80-41D2-A1FF-8EE1248D6163}">
      <dgm:prSet custT="1"/>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Local and international benchmarking of fee determination considerations and amounts. </a:t>
          </a:r>
          <a:endParaRPr lang="en-ZA" sz="900">
            <a:solidFill>
              <a:sysClr val="windowText" lastClr="000000"/>
            </a:solidFill>
            <a:latin typeface="Arial" panose="020B0604020202020204" pitchFamily="34" charset="0"/>
            <a:cs typeface="Arial" panose="020B0604020202020204" pitchFamily="34" charset="0"/>
          </a:endParaRPr>
        </a:p>
      </dgm:t>
    </dgm:pt>
    <dgm:pt modelId="{AC706693-319F-4B9D-A584-5FD0261FA6D9}" type="parTrans" cxnId="{4E8327F9-C569-448A-BE22-6787F8D72971}">
      <dgm:prSet/>
      <dgm:spPr/>
      <dgm:t>
        <a:bodyPr/>
        <a:lstStyle/>
        <a:p>
          <a:endParaRPr lang="en-ZA"/>
        </a:p>
      </dgm:t>
    </dgm:pt>
    <dgm:pt modelId="{39E63139-C178-4A31-B5C0-BC73CC7DC348}" type="sibTrans" cxnId="{4E8327F9-C569-448A-BE22-6787F8D72971}">
      <dgm:prSet/>
      <dgm:spPr/>
      <dgm:t>
        <a:bodyPr/>
        <a:lstStyle/>
        <a:p>
          <a:endParaRPr lang="en-ZA"/>
        </a:p>
      </dgm:t>
    </dgm:pt>
    <dgm:pt modelId="{EAD0F161-E95B-4AC7-AF32-7AE05AE658B0}">
      <dgm:prSet custT="1"/>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Determination of processing costs associated with issuing permits and licences.</a:t>
          </a:r>
          <a:endParaRPr lang="en-ZA" sz="900">
            <a:solidFill>
              <a:sysClr val="windowText" lastClr="000000"/>
            </a:solidFill>
            <a:latin typeface="Arial" panose="020B0604020202020204" pitchFamily="34" charset="0"/>
            <a:cs typeface="Arial" panose="020B0604020202020204" pitchFamily="34" charset="0"/>
          </a:endParaRPr>
        </a:p>
      </dgm:t>
    </dgm:pt>
    <dgm:pt modelId="{4D7553A0-2281-4B48-83A2-416F63D9402C}" type="parTrans" cxnId="{0ABE809B-F76C-4FA7-AB29-AAF590801490}">
      <dgm:prSet/>
      <dgm:spPr/>
      <dgm:t>
        <a:bodyPr/>
        <a:lstStyle/>
        <a:p>
          <a:endParaRPr lang="en-ZA"/>
        </a:p>
      </dgm:t>
    </dgm:pt>
    <dgm:pt modelId="{B8B07A84-B68B-41A4-AD64-57B0C262426C}" type="sibTrans" cxnId="{0ABE809B-F76C-4FA7-AB29-AAF590801490}">
      <dgm:prSet/>
      <dgm:spPr/>
      <dgm:t>
        <a:bodyPr/>
        <a:lstStyle/>
        <a:p>
          <a:endParaRPr lang="en-ZA"/>
        </a:p>
      </dgm:t>
    </dgm:pt>
    <dgm:pt modelId="{93FF43EB-E9E0-4CBC-B67B-B6DE6817224B}">
      <dgm:prSet custT="1"/>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Permit, licence types or categories and fee amounts.</a:t>
          </a:r>
          <a:endParaRPr lang="en-ZA" sz="900">
            <a:solidFill>
              <a:sysClr val="windowText" lastClr="000000"/>
            </a:solidFill>
            <a:latin typeface="Arial" panose="020B0604020202020204" pitchFamily="34" charset="0"/>
            <a:cs typeface="Arial" panose="020B0604020202020204" pitchFamily="34" charset="0"/>
          </a:endParaRPr>
        </a:p>
      </dgm:t>
    </dgm:pt>
    <dgm:pt modelId="{10C8E56B-0AE7-4E1D-936B-1686FBD6D3BE}" type="parTrans" cxnId="{F9B32EAF-FC86-404D-90B0-96CF59D4016B}">
      <dgm:prSet/>
      <dgm:spPr/>
      <dgm:t>
        <a:bodyPr/>
        <a:lstStyle/>
        <a:p>
          <a:endParaRPr lang="en-ZA"/>
        </a:p>
      </dgm:t>
    </dgm:pt>
    <dgm:pt modelId="{38991642-C2E9-4336-BE78-542C7FDA4D65}" type="sibTrans" cxnId="{F9B32EAF-FC86-404D-90B0-96CF59D4016B}">
      <dgm:prSet/>
      <dgm:spPr/>
      <dgm:t>
        <a:bodyPr/>
        <a:lstStyle/>
        <a:p>
          <a:endParaRPr lang="en-ZA"/>
        </a:p>
      </dgm:t>
    </dgm:pt>
    <dgm:pt modelId="{E1949354-182C-4FD7-9BE8-B453C63398D1}">
      <dgm:prSet custT="1"/>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The process used to update fees and considerations or criteria used for setting fees. </a:t>
          </a:r>
          <a:endParaRPr lang="en-ZA" sz="900">
            <a:solidFill>
              <a:sysClr val="windowText" lastClr="000000"/>
            </a:solidFill>
            <a:latin typeface="Arial" panose="020B0604020202020204" pitchFamily="34" charset="0"/>
            <a:cs typeface="Arial" panose="020B0604020202020204" pitchFamily="34" charset="0"/>
          </a:endParaRPr>
        </a:p>
      </dgm:t>
    </dgm:pt>
    <dgm:pt modelId="{2EBE0D39-42DC-4295-B3ED-955D03989259}" type="parTrans" cxnId="{BDBF967D-16B0-4710-AAAD-FE9610F627C8}">
      <dgm:prSet/>
      <dgm:spPr/>
      <dgm:t>
        <a:bodyPr/>
        <a:lstStyle/>
        <a:p>
          <a:endParaRPr lang="en-ZA"/>
        </a:p>
      </dgm:t>
    </dgm:pt>
    <dgm:pt modelId="{317BBA0B-3DD1-4692-8309-DD6C70940D6E}" type="sibTrans" cxnId="{BDBF967D-16B0-4710-AAAD-FE9610F627C8}">
      <dgm:prSet/>
      <dgm:spPr/>
      <dgm:t>
        <a:bodyPr/>
        <a:lstStyle/>
        <a:p>
          <a:endParaRPr lang="en-ZA"/>
        </a:p>
      </dgm:t>
    </dgm:pt>
    <dgm:pt modelId="{FEA13270-6ADE-4A51-A346-A913BA046719}">
      <dgm:prSet custT="1"/>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Number of permits or licences issued per year and revenue.</a:t>
          </a:r>
          <a:endParaRPr lang="en-ZA" sz="900">
            <a:solidFill>
              <a:sysClr val="windowText" lastClr="000000"/>
            </a:solidFill>
            <a:latin typeface="Arial" panose="020B0604020202020204" pitchFamily="34" charset="0"/>
            <a:cs typeface="Arial" panose="020B0604020202020204" pitchFamily="34" charset="0"/>
          </a:endParaRPr>
        </a:p>
      </dgm:t>
    </dgm:pt>
    <dgm:pt modelId="{935C8A44-D9A5-4F52-9260-87A56D627FBC}" type="parTrans" cxnId="{059D913E-DD13-413E-9C2F-E052DFA59EE4}">
      <dgm:prSet/>
      <dgm:spPr/>
      <dgm:t>
        <a:bodyPr/>
        <a:lstStyle/>
        <a:p>
          <a:endParaRPr lang="en-ZA"/>
        </a:p>
      </dgm:t>
    </dgm:pt>
    <dgm:pt modelId="{93B20D4A-AF62-47B7-8852-C35C784A8D02}" type="sibTrans" cxnId="{059D913E-DD13-413E-9C2F-E052DFA59EE4}">
      <dgm:prSet/>
      <dgm:spPr/>
      <dgm:t>
        <a:bodyPr/>
        <a:lstStyle/>
        <a:p>
          <a:endParaRPr lang="en-ZA"/>
        </a:p>
      </dgm:t>
    </dgm:pt>
    <dgm:pt modelId="{DD755960-9570-4687-B5FC-0C057657815B}">
      <dgm:prSet custT="1"/>
      <dgm:spPr>
        <a:solidFill>
          <a:schemeClr val="tx1">
            <a:lumMod val="20000"/>
            <a:lumOff val="80000"/>
          </a:schemeClr>
        </a:solidFill>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Review of frameworks for fee determination. </a:t>
          </a:r>
          <a:endParaRPr lang="en-ZA" sz="900">
            <a:solidFill>
              <a:sysClr val="windowText" lastClr="000000"/>
            </a:solidFill>
            <a:latin typeface="Arial" panose="020B0604020202020204" pitchFamily="34" charset="0"/>
            <a:cs typeface="Arial" panose="020B0604020202020204" pitchFamily="34" charset="0"/>
          </a:endParaRPr>
        </a:p>
      </dgm:t>
    </dgm:pt>
    <dgm:pt modelId="{837DBE0F-4301-4007-AAC3-047092FEEB1C}" type="parTrans" cxnId="{289C5F58-5D77-486C-B764-671B2DA343DB}">
      <dgm:prSet/>
      <dgm:spPr/>
      <dgm:t>
        <a:bodyPr/>
        <a:lstStyle/>
        <a:p>
          <a:endParaRPr lang="en-ZA"/>
        </a:p>
      </dgm:t>
    </dgm:pt>
    <dgm:pt modelId="{4AE6772A-1960-42E6-A547-F7989E32D82F}" type="sibTrans" cxnId="{289C5F58-5D77-486C-B764-671B2DA343DB}">
      <dgm:prSet/>
      <dgm:spPr/>
      <dgm:t>
        <a:bodyPr/>
        <a:lstStyle/>
        <a:p>
          <a:endParaRPr lang="en-ZA"/>
        </a:p>
      </dgm:t>
    </dgm:pt>
    <dgm:pt modelId="{A9EFA432-2A1F-4377-88BA-DE846227D955}">
      <dgm:prSet custT="1"/>
      <dgm:spPr/>
      <dgm:t>
        <a:bodyPr/>
        <a:lstStyle/>
        <a:p>
          <a:pPr>
            <a:buFont typeface="Symbol" panose="05050102010706020507" pitchFamily="18" charset="2"/>
            <a:buChar char=""/>
          </a:pPr>
          <a:r>
            <a:rPr lang="en-US" sz="900">
              <a:solidFill>
                <a:sysClr val="windowText" lastClr="000000"/>
              </a:solidFill>
              <a:latin typeface="Arial" panose="020B0604020202020204" pitchFamily="34" charset="0"/>
              <a:cs typeface="Arial" panose="020B0604020202020204" pitchFamily="34" charset="0"/>
            </a:rPr>
            <a:t>Budget allocations to sub-directorates / units that issue permits, licences.</a:t>
          </a:r>
          <a:endParaRPr lang="en-ZA" sz="900">
            <a:solidFill>
              <a:sysClr val="windowText" lastClr="000000"/>
            </a:solidFill>
            <a:latin typeface="Arial" panose="020B0604020202020204" pitchFamily="34" charset="0"/>
            <a:cs typeface="Arial" panose="020B0604020202020204" pitchFamily="34" charset="0"/>
          </a:endParaRPr>
        </a:p>
      </dgm:t>
    </dgm:pt>
    <dgm:pt modelId="{501C97BA-7B1D-4604-A40E-49127FAF28C9}" type="parTrans" cxnId="{1D971A35-521C-479E-991E-EFF46685B151}">
      <dgm:prSet/>
      <dgm:spPr/>
      <dgm:t>
        <a:bodyPr/>
        <a:lstStyle/>
        <a:p>
          <a:endParaRPr lang="en-ZA"/>
        </a:p>
      </dgm:t>
    </dgm:pt>
    <dgm:pt modelId="{3AB4426D-6146-48D5-BD0A-7D9AC88841CF}" type="sibTrans" cxnId="{1D971A35-521C-479E-991E-EFF46685B151}">
      <dgm:prSet/>
      <dgm:spPr/>
      <dgm:t>
        <a:bodyPr/>
        <a:lstStyle/>
        <a:p>
          <a:endParaRPr lang="en-ZA"/>
        </a:p>
      </dgm:t>
    </dgm:pt>
    <dgm:pt modelId="{2C24D71F-9DA6-4F16-811E-773B0D682E61}" type="pres">
      <dgm:prSet presAssocID="{30BB68F9-1077-4186-9C46-C31756D80F5E}" presName="linearFlow" presStyleCnt="0">
        <dgm:presLayoutVars>
          <dgm:dir/>
          <dgm:animLvl val="lvl"/>
          <dgm:resizeHandles val="exact"/>
        </dgm:presLayoutVars>
      </dgm:prSet>
      <dgm:spPr/>
    </dgm:pt>
    <dgm:pt modelId="{62901A91-9906-4F72-8E2D-F1B4AE98EF7A}" type="pres">
      <dgm:prSet presAssocID="{D8798DB9-2B5F-45D3-B421-86D982873A31}" presName="composite" presStyleCnt="0"/>
      <dgm:spPr/>
    </dgm:pt>
    <dgm:pt modelId="{84BC86D0-FD23-451A-A911-B16937DD819A}" type="pres">
      <dgm:prSet presAssocID="{D8798DB9-2B5F-45D3-B421-86D982873A31}" presName="parentText" presStyleLbl="alignNode1" presStyleIdx="0" presStyleCnt="3">
        <dgm:presLayoutVars>
          <dgm:chMax val="1"/>
          <dgm:bulletEnabled val="1"/>
        </dgm:presLayoutVars>
      </dgm:prSet>
      <dgm:spPr/>
    </dgm:pt>
    <dgm:pt modelId="{164731C1-60B2-40F4-8784-D037F76A0B91}" type="pres">
      <dgm:prSet presAssocID="{D8798DB9-2B5F-45D3-B421-86D982873A31}" presName="descendantText" presStyleLbl="alignAcc1" presStyleIdx="0" presStyleCnt="3">
        <dgm:presLayoutVars>
          <dgm:bulletEnabled val="1"/>
        </dgm:presLayoutVars>
      </dgm:prSet>
      <dgm:spPr/>
    </dgm:pt>
    <dgm:pt modelId="{7AD67245-8F3E-421E-B837-34A827172B4A}" type="pres">
      <dgm:prSet presAssocID="{4150B24A-FFBC-4858-B5AD-AD6A9155C7CC}" presName="sp" presStyleCnt="0"/>
      <dgm:spPr/>
    </dgm:pt>
    <dgm:pt modelId="{429C0CF7-75E9-4FD3-A474-AF32446EE5A9}" type="pres">
      <dgm:prSet presAssocID="{E8B06371-5162-490B-BE30-BB7C1320A33B}" presName="composite" presStyleCnt="0"/>
      <dgm:spPr/>
    </dgm:pt>
    <dgm:pt modelId="{A415E2C5-653C-4EBB-930F-51BF307B16E5}" type="pres">
      <dgm:prSet presAssocID="{E8B06371-5162-490B-BE30-BB7C1320A33B}" presName="parentText" presStyleLbl="alignNode1" presStyleIdx="1" presStyleCnt="3">
        <dgm:presLayoutVars>
          <dgm:chMax val="1"/>
          <dgm:bulletEnabled val="1"/>
        </dgm:presLayoutVars>
      </dgm:prSet>
      <dgm:spPr/>
    </dgm:pt>
    <dgm:pt modelId="{0952F370-E48F-49E1-9B62-AD03F19AC5F0}" type="pres">
      <dgm:prSet presAssocID="{E8B06371-5162-490B-BE30-BB7C1320A33B}" presName="descendantText" presStyleLbl="alignAcc1" presStyleIdx="1" presStyleCnt="3">
        <dgm:presLayoutVars>
          <dgm:bulletEnabled val="1"/>
        </dgm:presLayoutVars>
      </dgm:prSet>
      <dgm:spPr/>
    </dgm:pt>
    <dgm:pt modelId="{8374DB99-BF1B-473D-8E58-BB0B5C60CFFE}" type="pres">
      <dgm:prSet presAssocID="{980CA0BA-4BFB-4526-ABB6-D011042025EE}" presName="sp" presStyleCnt="0"/>
      <dgm:spPr/>
    </dgm:pt>
    <dgm:pt modelId="{F3D85970-0B38-432B-8DDB-DA296A6584E0}" type="pres">
      <dgm:prSet presAssocID="{DEA7E1F9-98FE-487F-9A0A-35AD7F844F14}" presName="composite" presStyleCnt="0"/>
      <dgm:spPr/>
    </dgm:pt>
    <dgm:pt modelId="{261877E6-6063-4373-A2AF-2718BA3A80EB}" type="pres">
      <dgm:prSet presAssocID="{DEA7E1F9-98FE-487F-9A0A-35AD7F844F14}" presName="parentText" presStyleLbl="alignNode1" presStyleIdx="2" presStyleCnt="3">
        <dgm:presLayoutVars>
          <dgm:chMax val="1"/>
          <dgm:bulletEnabled val="1"/>
        </dgm:presLayoutVars>
      </dgm:prSet>
      <dgm:spPr/>
    </dgm:pt>
    <dgm:pt modelId="{66ED4A1E-EAF2-4B0D-9EA0-CFF514F70969}" type="pres">
      <dgm:prSet presAssocID="{DEA7E1F9-98FE-487F-9A0A-35AD7F844F14}" presName="descendantText" presStyleLbl="alignAcc1" presStyleIdx="2" presStyleCnt="3">
        <dgm:presLayoutVars>
          <dgm:bulletEnabled val="1"/>
        </dgm:presLayoutVars>
      </dgm:prSet>
      <dgm:spPr/>
    </dgm:pt>
  </dgm:ptLst>
  <dgm:cxnLst>
    <dgm:cxn modelId="{EF01BE03-5F1C-4FE2-BFCD-B2FDCF731F1A}" type="presOf" srcId="{9DBF608D-5180-4BFA-81DB-195E9DEE6172}" destId="{164731C1-60B2-40F4-8784-D037F76A0B91}" srcOrd="0" destOrd="0" presId="urn:microsoft.com/office/officeart/2005/8/layout/chevron2"/>
    <dgm:cxn modelId="{FA175519-349D-4A94-9B36-0E73E07C0797}" type="presOf" srcId="{EAD0F161-E95B-4AC7-AF32-7AE05AE658B0}" destId="{0952F370-E48F-49E1-9B62-AD03F19AC5F0}" srcOrd="0" destOrd="3" presId="urn:microsoft.com/office/officeart/2005/8/layout/chevron2"/>
    <dgm:cxn modelId="{1C690823-FEE4-40EF-9025-14A270C189FA}" srcId="{D8798DB9-2B5F-45D3-B421-86D982873A31}" destId="{9DBF608D-5180-4BFA-81DB-195E9DEE6172}" srcOrd="0" destOrd="0" parTransId="{C7A0DF6F-7A49-46BD-AA81-5A7833736361}" sibTransId="{2A4B2417-A4F9-4573-AC7B-B24EBD103031}"/>
    <dgm:cxn modelId="{299CA927-37E1-47A8-B92A-9A831061CE02}" type="presOf" srcId="{93FF43EB-E9E0-4CBC-B67B-B6DE6817224B}" destId="{164731C1-60B2-40F4-8784-D037F76A0B91}" srcOrd="0" destOrd="1" presId="urn:microsoft.com/office/officeart/2005/8/layout/chevron2"/>
    <dgm:cxn modelId="{1D971A35-521C-479E-991E-EFF46685B151}" srcId="{D8798DB9-2B5F-45D3-B421-86D982873A31}" destId="{A9EFA432-2A1F-4377-88BA-DE846227D955}" srcOrd="4" destOrd="0" parTransId="{501C97BA-7B1D-4604-A40E-49127FAF28C9}" sibTransId="{3AB4426D-6146-48D5-BD0A-7D9AC88841CF}"/>
    <dgm:cxn modelId="{AF203D35-D0CB-4EBA-937C-A97A4F647DAB}" srcId="{30BB68F9-1077-4186-9C46-C31756D80F5E}" destId="{E8B06371-5162-490B-BE30-BB7C1320A33B}" srcOrd="1" destOrd="0" parTransId="{C4794567-0C73-42F8-AE31-17F729875E9D}" sibTransId="{980CA0BA-4BFB-4526-ABB6-D011042025EE}"/>
    <dgm:cxn modelId="{F5054838-1306-4A7C-8A98-9A436BB8F9B0}" type="presOf" srcId="{6185F698-1DC8-43E8-A38B-A949D8AA701A}" destId="{0952F370-E48F-49E1-9B62-AD03F19AC5F0}" srcOrd="0" destOrd="1" presId="urn:microsoft.com/office/officeart/2005/8/layout/chevron2"/>
    <dgm:cxn modelId="{80300E3D-30DF-4B4F-A58C-D5AE1A6ED9B1}" type="presOf" srcId="{FEA13270-6ADE-4A51-A346-A913BA046719}" destId="{164731C1-60B2-40F4-8784-D037F76A0B91}" srcOrd="0" destOrd="3" presId="urn:microsoft.com/office/officeart/2005/8/layout/chevron2"/>
    <dgm:cxn modelId="{059D913E-DD13-413E-9C2F-E052DFA59EE4}" srcId="{D8798DB9-2B5F-45D3-B421-86D982873A31}" destId="{FEA13270-6ADE-4A51-A346-A913BA046719}" srcOrd="3" destOrd="0" parTransId="{935C8A44-D9A5-4F52-9260-87A56D627FBC}" sibTransId="{93B20D4A-AF62-47B7-8852-C35C784A8D02}"/>
    <dgm:cxn modelId="{C50E3161-F568-4814-B5FB-5F07A1B9F520}" srcId="{E8B06371-5162-490B-BE30-BB7C1320A33B}" destId="{6185F698-1DC8-43E8-A38B-A949D8AA701A}" srcOrd="1" destOrd="0" parTransId="{9949387B-04AD-4EE7-B217-11CF3E6AE0CE}" sibTransId="{BB08C9F4-E86D-40E6-BC53-43E74D1E2CE6}"/>
    <dgm:cxn modelId="{0E3F114E-2F18-4BBC-B48F-B5E4673685D7}" type="presOf" srcId="{898C8713-5F80-41D2-A1FF-8EE1248D6163}" destId="{0952F370-E48F-49E1-9B62-AD03F19AC5F0}" srcOrd="0" destOrd="2" presId="urn:microsoft.com/office/officeart/2005/8/layout/chevron2"/>
    <dgm:cxn modelId="{676D9651-C94F-4DCC-A838-F86784E75BD4}" type="presOf" srcId="{A9EFA432-2A1F-4377-88BA-DE846227D955}" destId="{164731C1-60B2-40F4-8784-D037F76A0B91}" srcOrd="0" destOrd="4" presId="urn:microsoft.com/office/officeart/2005/8/layout/chevron2"/>
    <dgm:cxn modelId="{289C5F58-5D77-486C-B764-671B2DA343DB}" srcId="{E8B06371-5162-490B-BE30-BB7C1320A33B}" destId="{DD755960-9570-4687-B5FC-0C057657815B}" srcOrd="4" destOrd="0" parTransId="{837DBE0F-4301-4007-AAC3-047092FEEB1C}" sibTransId="{4AE6772A-1960-42E6-A547-F7989E32D82F}"/>
    <dgm:cxn modelId="{9BE67C5A-1B19-4C59-930E-2E167476F7FF}" type="presOf" srcId="{0DFBB167-EE16-4DF1-9270-ED9C1AB4C603}" destId="{66ED4A1E-EAF2-4B0D-9EA0-CFF514F70969}" srcOrd="0" destOrd="0" presId="urn:microsoft.com/office/officeart/2005/8/layout/chevron2"/>
    <dgm:cxn modelId="{BDBF967D-16B0-4710-AAAD-FE9610F627C8}" srcId="{D8798DB9-2B5F-45D3-B421-86D982873A31}" destId="{E1949354-182C-4FD7-9BE8-B453C63398D1}" srcOrd="2" destOrd="0" parTransId="{2EBE0D39-42DC-4295-B3ED-955D03989259}" sibTransId="{317BBA0B-3DD1-4692-8309-DD6C70940D6E}"/>
    <dgm:cxn modelId="{7C42AC88-947D-4432-85FF-DACD5DAF5757}" type="presOf" srcId="{2F1CB3ED-C37F-4470-8064-7640558ACCBF}" destId="{0952F370-E48F-49E1-9B62-AD03F19AC5F0}" srcOrd="0" destOrd="0" presId="urn:microsoft.com/office/officeart/2005/8/layout/chevron2"/>
    <dgm:cxn modelId="{7C39518B-F938-45AE-9D3B-5F1EF639A426}" type="presOf" srcId="{D8798DB9-2B5F-45D3-B421-86D982873A31}" destId="{84BC86D0-FD23-451A-A911-B16937DD819A}" srcOrd="0" destOrd="0" presId="urn:microsoft.com/office/officeart/2005/8/layout/chevron2"/>
    <dgm:cxn modelId="{0ABE809B-F76C-4FA7-AB29-AAF590801490}" srcId="{E8B06371-5162-490B-BE30-BB7C1320A33B}" destId="{EAD0F161-E95B-4AC7-AF32-7AE05AE658B0}" srcOrd="3" destOrd="0" parTransId="{4D7553A0-2281-4B48-83A2-416F63D9402C}" sibTransId="{B8B07A84-B68B-41A4-AD64-57B0C262426C}"/>
    <dgm:cxn modelId="{C96266A4-D37C-4CE8-BF8A-6E5F21EBF1C1}" type="presOf" srcId="{DD755960-9570-4687-B5FC-0C057657815B}" destId="{0952F370-E48F-49E1-9B62-AD03F19AC5F0}" srcOrd="0" destOrd="4" presId="urn:microsoft.com/office/officeart/2005/8/layout/chevron2"/>
    <dgm:cxn modelId="{AF18B6AB-251A-4CE0-99E7-DAB5B769A218}" srcId="{30BB68F9-1077-4186-9C46-C31756D80F5E}" destId="{D8798DB9-2B5F-45D3-B421-86D982873A31}" srcOrd="0" destOrd="0" parTransId="{2CE00A93-6045-4C63-A284-E7152A1D8D86}" sibTransId="{4150B24A-FFBC-4858-B5AD-AD6A9155C7CC}"/>
    <dgm:cxn modelId="{F9B32EAF-FC86-404D-90B0-96CF59D4016B}" srcId="{D8798DB9-2B5F-45D3-B421-86D982873A31}" destId="{93FF43EB-E9E0-4CBC-B67B-B6DE6817224B}" srcOrd="1" destOrd="0" parTransId="{10C8E56B-0AE7-4E1D-936B-1686FBD6D3BE}" sibTransId="{38991642-C2E9-4336-BE78-542C7FDA4D65}"/>
    <dgm:cxn modelId="{BCFCF1C2-E0BB-4237-8D27-FF9BCD40B44F}" type="presOf" srcId="{30BB68F9-1077-4186-9C46-C31756D80F5E}" destId="{2C24D71F-9DA6-4F16-811E-773B0D682E61}" srcOrd="0" destOrd="0" presId="urn:microsoft.com/office/officeart/2005/8/layout/chevron2"/>
    <dgm:cxn modelId="{E363F0D2-18F8-4B6A-833E-629E3B900D8E}" srcId="{30BB68F9-1077-4186-9C46-C31756D80F5E}" destId="{DEA7E1F9-98FE-487F-9A0A-35AD7F844F14}" srcOrd="2" destOrd="0" parTransId="{B61CA807-CE81-467D-BA45-5130B1136287}" sibTransId="{236ED920-66F3-4599-951D-5589BC87C3DB}"/>
    <dgm:cxn modelId="{055866DC-4AFC-4813-A886-647E63E8304C}" srcId="{E8B06371-5162-490B-BE30-BB7C1320A33B}" destId="{2F1CB3ED-C37F-4470-8064-7640558ACCBF}" srcOrd="0" destOrd="0" parTransId="{126E9CA2-D690-4114-9A89-55A977E3069C}" sibTransId="{589E4E5C-37B2-4237-9F88-CD89D8EE8059}"/>
    <dgm:cxn modelId="{0AD333DE-8CD3-4AE2-899B-2E6E9CE23700}" type="presOf" srcId="{DEA7E1F9-98FE-487F-9A0A-35AD7F844F14}" destId="{261877E6-6063-4373-A2AF-2718BA3A80EB}" srcOrd="0" destOrd="0" presId="urn:microsoft.com/office/officeart/2005/8/layout/chevron2"/>
    <dgm:cxn modelId="{3928FAE1-E8C7-4B30-B925-EEFADF6C8BD7}" srcId="{DEA7E1F9-98FE-487F-9A0A-35AD7F844F14}" destId="{0DFBB167-EE16-4DF1-9270-ED9C1AB4C603}" srcOrd="0" destOrd="0" parTransId="{FF306C91-0826-4044-BBF0-64182242B19B}" sibTransId="{CFDFEA44-1B82-44EC-BAD7-8517BF7F627C}"/>
    <dgm:cxn modelId="{EEB9ABE7-E49D-4416-B60C-82F935AF16BB}" type="presOf" srcId="{E1949354-182C-4FD7-9BE8-B453C63398D1}" destId="{164731C1-60B2-40F4-8784-D037F76A0B91}" srcOrd="0" destOrd="2" presId="urn:microsoft.com/office/officeart/2005/8/layout/chevron2"/>
    <dgm:cxn modelId="{4E8327F9-C569-448A-BE22-6787F8D72971}" srcId="{E8B06371-5162-490B-BE30-BB7C1320A33B}" destId="{898C8713-5F80-41D2-A1FF-8EE1248D6163}" srcOrd="2" destOrd="0" parTransId="{AC706693-319F-4B9D-A584-5FD0261FA6D9}" sibTransId="{39E63139-C178-4A31-B5C0-BC73CC7DC348}"/>
    <dgm:cxn modelId="{4EEF4EFB-5E40-4C24-ADFD-1F1923D4AA94}" type="presOf" srcId="{E8B06371-5162-490B-BE30-BB7C1320A33B}" destId="{A415E2C5-653C-4EBB-930F-51BF307B16E5}" srcOrd="0" destOrd="0" presId="urn:microsoft.com/office/officeart/2005/8/layout/chevron2"/>
    <dgm:cxn modelId="{3201CAD8-FE23-4BF8-A460-87F01F5DD8A8}" type="presParOf" srcId="{2C24D71F-9DA6-4F16-811E-773B0D682E61}" destId="{62901A91-9906-4F72-8E2D-F1B4AE98EF7A}" srcOrd="0" destOrd="0" presId="urn:microsoft.com/office/officeart/2005/8/layout/chevron2"/>
    <dgm:cxn modelId="{B059A047-1929-4580-BD15-E29DBA0DA504}" type="presParOf" srcId="{62901A91-9906-4F72-8E2D-F1B4AE98EF7A}" destId="{84BC86D0-FD23-451A-A911-B16937DD819A}" srcOrd="0" destOrd="0" presId="urn:microsoft.com/office/officeart/2005/8/layout/chevron2"/>
    <dgm:cxn modelId="{AA135312-9B28-4D53-9FFA-22AF3CB91995}" type="presParOf" srcId="{62901A91-9906-4F72-8E2D-F1B4AE98EF7A}" destId="{164731C1-60B2-40F4-8784-D037F76A0B91}" srcOrd="1" destOrd="0" presId="urn:microsoft.com/office/officeart/2005/8/layout/chevron2"/>
    <dgm:cxn modelId="{11E8D50E-C2E1-466A-BF23-9208B868E456}" type="presParOf" srcId="{2C24D71F-9DA6-4F16-811E-773B0D682E61}" destId="{7AD67245-8F3E-421E-B837-34A827172B4A}" srcOrd="1" destOrd="0" presId="urn:microsoft.com/office/officeart/2005/8/layout/chevron2"/>
    <dgm:cxn modelId="{D92EE97B-B352-492B-9885-721DDEF2594F}" type="presParOf" srcId="{2C24D71F-9DA6-4F16-811E-773B0D682E61}" destId="{429C0CF7-75E9-4FD3-A474-AF32446EE5A9}" srcOrd="2" destOrd="0" presId="urn:microsoft.com/office/officeart/2005/8/layout/chevron2"/>
    <dgm:cxn modelId="{AD88DFE8-4BE6-41FE-AC2D-598299FA8ACE}" type="presParOf" srcId="{429C0CF7-75E9-4FD3-A474-AF32446EE5A9}" destId="{A415E2C5-653C-4EBB-930F-51BF307B16E5}" srcOrd="0" destOrd="0" presId="urn:microsoft.com/office/officeart/2005/8/layout/chevron2"/>
    <dgm:cxn modelId="{C808419A-2521-481C-A624-C34F0B791DF1}" type="presParOf" srcId="{429C0CF7-75E9-4FD3-A474-AF32446EE5A9}" destId="{0952F370-E48F-49E1-9B62-AD03F19AC5F0}" srcOrd="1" destOrd="0" presId="urn:microsoft.com/office/officeart/2005/8/layout/chevron2"/>
    <dgm:cxn modelId="{21C03A99-91DD-45A9-ACC4-F18106B56135}" type="presParOf" srcId="{2C24D71F-9DA6-4F16-811E-773B0D682E61}" destId="{8374DB99-BF1B-473D-8E58-BB0B5C60CFFE}" srcOrd="3" destOrd="0" presId="urn:microsoft.com/office/officeart/2005/8/layout/chevron2"/>
    <dgm:cxn modelId="{A87A10A3-F555-40CC-BC18-C71498A72E4C}" type="presParOf" srcId="{2C24D71F-9DA6-4F16-811E-773B0D682E61}" destId="{F3D85970-0B38-432B-8DDB-DA296A6584E0}" srcOrd="4" destOrd="0" presId="urn:microsoft.com/office/officeart/2005/8/layout/chevron2"/>
    <dgm:cxn modelId="{C0661499-9946-4D22-A626-552B02F04ADA}" type="presParOf" srcId="{F3D85970-0B38-432B-8DDB-DA296A6584E0}" destId="{261877E6-6063-4373-A2AF-2718BA3A80EB}" srcOrd="0" destOrd="0" presId="urn:microsoft.com/office/officeart/2005/8/layout/chevron2"/>
    <dgm:cxn modelId="{0A247505-1A08-46E9-8058-ABEF80064A8A}" type="presParOf" srcId="{F3D85970-0B38-432B-8DDB-DA296A6584E0}" destId="{66ED4A1E-EAF2-4B0D-9EA0-CFF514F70969}"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2158EA1-4CAD-4148-B7B0-F68445DF3EC5}"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endParaRPr lang="en-ZA"/>
        </a:p>
      </dgm:t>
    </dgm:pt>
    <dgm:pt modelId="{04DBC3A8-75A2-4A4A-B50B-8AA0B842F481}">
      <dgm:prSet phldrT="[Text]" custT="1"/>
      <dgm:spPr>
        <a:solidFill>
          <a:srgbClr val="00B16B"/>
        </a:solidFill>
        <a:ln w="19050">
          <a:solidFill>
            <a:schemeClr val="tx1"/>
          </a:solidFill>
        </a:ln>
      </dgm:spPr>
      <dgm:t>
        <a:bodyPr/>
        <a:lstStyle/>
        <a:p>
          <a:r>
            <a:rPr lang="en-ZA" sz="900" b="1">
              <a:solidFill>
                <a:srgbClr val="FFFFFF"/>
              </a:solidFill>
              <a:latin typeface="Arial" panose="020B0604020202020204" pitchFamily="34" charset="0"/>
              <a:cs typeface="Arial" panose="020B0604020202020204" pitchFamily="34" charset="0"/>
            </a:rPr>
            <a:t>Appropriate fees</a:t>
          </a:r>
        </a:p>
      </dgm:t>
    </dgm:pt>
    <dgm:pt modelId="{1D97C05C-F426-4C85-89A5-6C1BE331693E}" type="parTrans" cxnId="{DB89A14C-2CBC-4AF5-B1C3-6F14A3792EE4}">
      <dgm:prSet/>
      <dgm:spPr/>
      <dgm:t>
        <a:bodyPr/>
        <a:lstStyle/>
        <a:p>
          <a:endParaRPr lang="en-ZA"/>
        </a:p>
      </dgm:t>
    </dgm:pt>
    <dgm:pt modelId="{2527A0B5-61D5-468F-ABE3-22F0C3D0D706}" type="sibTrans" cxnId="{DB89A14C-2CBC-4AF5-B1C3-6F14A3792EE4}">
      <dgm:prSet/>
      <dgm:spPr/>
      <dgm:t>
        <a:bodyPr/>
        <a:lstStyle/>
        <a:p>
          <a:endParaRPr lang="en-ZA"/>
        </a:p>
      </dgm:t>
    </dgm:pt>
    <dgm:pt modelId="{AAA6F397-7DB7-48DD-BC5C-17A3F374B2AE}">
      <dgm:prSet phldrT="[Text]" custT="1"/>
      <dgm:spPr>
        <a:solidFill>
          <a:schemeClr val="tx1">
            <a:lumMod val="20000"/>
            <a:lumOff val="80000"/>
          </a:schemeClr>
        </a:solidFill>
        <a:ln w="19050">
          <a:solidFill>
            <a:schemeClr val="tx1"/>
          </a:solidFill>
        </a:ln>
      </dgm:spPr>
      <dgm:t>
        <a:bodyPr/>
        <a:lstStyle/>
        <a:p>
          <a:pPr>
            <a:buFont typeface="Symbol" panose="05050102010706020507" pitchFamily="18" charset="2"/>
            <a:buChar char=""/>
          </a:pPr>
          <a:r>
            <a:rPr lang="en-ZA" sz="1000" b="1" i="1">
              <a:solidFill>
                <a:schemeClr val="tx2">
                  <a:lumMod val="75000"/>
                </a:schemeClr>
              </a:solidFill>
              <a:latin typeface="Arial" panose="020B0604020202020204" pitchFamily="34" charset="0"/>
              <a:cs typeface="Arial" panose="020B0604020202020204" pitchFamily="34" charset="0"/>
            </a:rPr>
            <a:t>Equity</a:t>
          </a:r>
          <a:r>
            <a:rPr lang="en-ZA" sz="1000">
              <a:solidFill>
                <a:sysClr val="windowText" lastClr="000000"/>
              </a:solidFill>
              <a:latin typeface="Arial" panose="020B0604020202020204" pitchFamily="34" charset="0"/>
              <a:cs typeface="Arial" panose="020B0604020202020204" pitchFamily="34" charset="0"/>
            </a:rPr>
            <a:t> </a:t>
          </a:r>
        </a:p>
        <a:p>
          <a:pPr>
            <a:buFont typeface="Symbol" panose="05050102010706020507" pitchFamily="18" charset="2"/>
            <a:buChar char=""/>
          </a:pPr>
          <a:r>
            <a:rPr lang="en-ZA" sz="1000">
              <a:solidFill>
                <a:sysClr val="windowText" lastClr="000000"/>
              </a:solidFill>
              <a:latin typeface="Arial" panose="020B0604020202020204" pitchFamily="34" charset="0"/>
              <a:cs typeface="Arial" panose="020B0604020202020204" pitchFamily="34" charset="0"/>
            </a:rPr>
            <a:t>Fairness and affordability are key principles in the provision of government services given high levels of poverty and inequality. Fees should reflect this and the degree to which permits provide private benefit and/or public benefit.</a:t>
          </a:r>
        </a:p>
      </dgm:t>
    </dgm:pt>
    <dgm:pt modelId="{DCB377A5-DA62-4554-9BD8-C669B2A6542D}" type="parTrans" cxnId="{4FD25065-9E8C-4D68-9FD9-C55EEB0830EC}">
      <dgm:prSet/>
      <dgm:spPr>
        <a:solidFill>
          <a:srgbClr val="C0C0C0"/>
        </a:solidFill>
      </dgm:spPr>
      <dgm:t>
        <a:bodyPr/>
        <a:lstStyle/>
        <a:p>
          <a:endParaRPr lang="en-ZA"/>
        </a:p>
      </dgm:t>
    </dgm:pt>
    <dgm:pt modelId="{29A72BD0-8080-4E63-9287-8EBB1F95C292}" type="sibTrans" cxnId="{4FD25065-9E8C-4D68-9FD9-C55EEB0830EC}">
      <dgm:prSet/>
      <dgm:spPr/>
      <dgm:t>
        <a:bodyPr/>
        <a:lstStyle/>
        <a:p>
          <a:endParaRPr lang="en-ZA"/>
        </a:p>
      </dgm:t>
    </dgm:pt>
    <dgm:pt modelId="{1CF2B0F6-41A6-4AC1-B050-71C8DBF70393}">
      <dgm:prSet phldrT="[Text]" custT="1"/>
      <dgm:spPr>
        <a:solidFill>
          <a:schemeClr val="tx1">
            <a:lumMod val="20000"/>
            <a:lumOff val="80000"/>
          </a:schemeClr>
        </a:solidFill>
        <a:ln w="19050">
          <a:solidFill>
            <a:schemeClr val="tx1"/>
          </a:solidFill>
        </a:ln>
      </dgm:spPr>
      <dgm:t>
        <a:bodyPr/>
        <a:lstStyle/>
        <a:p>
          <a:pPr>
            <a:buFont typeface="Symbol" panose="05050102010706020507" pitchFamily="18" charset="2"/>
            <a:buChar char=""/>
          </a:pPr>
          <a:r>
            <a:rPr lang="en-ZA" sz="1000" b="1" i="1">
              <a:solidFill>
                <a:schemeClr val="tx2">
                  <a:lumMod val="75000"/>
                </a:schemeClr>
              </a:solidFill>
              <a:latin typeface="Arial" panose="020B0604020202020204" pitchFamily="34" charset="0"/>
              <a:cs typeface="Arial" panose="020B0604020202020204" pitchFamily="34" charset="0"/>
            </a:rPr>
            <a:t>Efficiency</a:t>
          </a:r>
          <a:endParaRPr lang="en-ZA" sz="1000">
            <a:solidFill>
              <a:schemeClr val="tx2">
                <a:lumMod val="75000"/>
              </a:schemeClr>
            </a:solidFill>
            <a:latin typeface="Arial" panose="020B0604020202020204" pitchFamily="34" charset="0"/>
            <a:cs typeface="Arial" panose="020B0604020202020204" pitchFamily="34" charset="0"/>
          </a:endParaRPr>
        </a:p>
        <a:p>
          <a:pPr>
            <a:buFont typeface="Symbol" panose="05050102010706020507" pitchFamily="18" charset="2"/>
            <a:buChar char=""/>
          </a:pPr>
          <a:r>
            <a:rPr lang="en-ZA" sz="1000">
              <a:solidFill>
                <a:sysClr val="windowText" lastClr="000000"/>
              </a:solidFill>
              <a:latin typeface="Arial" panose="020B0604020202020204" pitchFamily="34" charset="0"/>
              <a:cs typeface="Arial" panose="020B0604020202020204" pitchFamily="34" charset="0"/>
            </a:rPr>
            <a:t>Efficiency is promoted when fees are more reflective of the costs of services provided or of the value permits provide to applicants. If a certain permit is more expensive to provide than another then the fee associated with it should be higher.</a:t>
          </a:r>
        </a:p>
      </dgm:t>
    </dgm:pt>
    <dgm:pt modelId="{0AB996E5-C183-4243-A922-418DBA571B92}" type="parTrans" cxnId="{B31CBDB0-A8AF-4D98-8B4B-3E3C3801FFA7}">
      <dgm:prSet/>
      <dgm:spPr>
        <a:solidFill>
          <a:srgbClr val="C0C0C0"/>
        </a:solidFill>
      </dgm:spPr>
      <dgm:t>
        <a:bodyPr/>
        <a:lstStyle/>
        <a:p>
          <a:endParaRPr lang="en-ZA"/>
        </a:p>
      </dgm:t>
    </dgm:pt>
    <dgm:pt modelId="{C4CFC449-B453-40D7-AFAB-1365391B79B3}" type="sibTrans" cxnId="{B31CBDB0-A8AF-4D98-8B4B-3E3C3801FFA7}">
      <dgm:prSet/>
      <dgm:spPr/>
      <dgm:t>
        <a:bodyPr/>
        <a:lstStyle/>
        <a:p>
          <a:endParaRPr lang="en-ZA"/>
        </a:p>
      </dgm:t>
    </dgm:pt>
    <dgm:pt modelId="{54FC590E-FF97-47BD-8974-18EDB56C17E5}">
      <dgm:prSet phldrT="[Text]" custT="1"/>
      <dgm:spPr>
        <a:solidFill>
          <a:schemeClr val="tx1">
            <a:lumMod val="20000"/>
            <a:lumOff val="80000"/>
          </a:schemeClr>
        </a:solidFill>
        <a:ln w="19050">
          <a:solidFill>
            <a:schemeClr val="tx1"/>
          </a:solidFill>
        </a:ln>
      </dgm:spPr>
      <dgm:t>
        <a:bodyPr/>
        <a:lstStyle/>
        <a:p>
          <a:pPr rtl="0"/>
          <a:r>
            <a:rPr lang="en-ZA" sz="1000" b="1" i="1">
              <a:solidFill>
                <a:schemeClr val="tx2">
                  <a:lumMod val="75000"/>
                </a:schemeClr>
              </a:solidFill>
              <a:latin typeface="Arial" panose="020B0604020202020204" pitchFamily="34" charset="0"/>
              <a:cs typeface="Arial" panose="020B0604020202020204" pitchFamily="34" charset="0"/>
            </a:rPr>
            <a:t>Simplicity</a:t>
          </a:r>
          <a:endParaRPr lang="en-ZA" sz="1000">
            <a:solidFill>
              <a:schemeClr val="tx2">
                <a:lumMod val="75000"/>
              </a:schemeClr>
            </a:solidFill>
            <a:latin typeface="Arial" panose="020B0604020202020204" pitchFamily="34" charset="0"/>
            <a:cs typeface="Arial" panose="020B0604020202020204" pitchFamily="34" charset="0"/>
          </a:endParaRPr>
        </a:p>
        <a:p>
          <a:pPr rtl="0"/>
          <a:r>
            <a:rPr lang="en-ZA" sz="1000">
              <a:solidFill>
                <a:sysClr val="windowText" lastClr="000000"/>
              </a:solidFill>
              <a:latin typeface="Arial" panose="020B0604020202020204" pitchFamily="34" charset="0"/>
              <a:cs typeface="Arial" panose="020B0604020202020204" pitchFamily="34" charset="0"/>
            </a:rPr>
            <a:t>Simpler fees and structures are easier for applicants to understand and for officials to set and apply reducing frustration and costs. Complex fees should be avoided unless they can be clearly justified and adequately implemented.</a:t>
          </a:r>
        </a:p>
      </dgm:t>
    </dgm:pt>
    <dgm:pt modelId="{748E2061-550E-410B-BACF-942E157B1200}" type="parTrans" cxnId="{1EE38724-BB76-4E4B-8317-28BB2FA03E3B}">
      <dgm:prSet/>
      <dgm:spPr>
        <a:solidFill>
          <a:srgbClr val="C0C0C0"/>
        </a:solidFill>
      </dgm:spPr>
      <dgm:t>
        <a:bodyPr/>
        <a:lstStyle/>
        <a:p>
          <a:endParaRPr lang="en-ZA"/>
        </a:p>
      </dgm:t>
    </dgm:pt>
    <dgm:pt modelId="{2FF162AF-584F-4C8A-A27D-D21FAB706286}" type="sibTrans" cxnId="{1EE38724-BB76-4E4B-8317-28BB2FA03E3B}">
      <dgm:prSet/>
      <dgm:spPr/>
      <dgm:t>
        <a:bodyPr/>
        <a:lstStyle/>
        <a:p>
          <a:endParaRPr lang="en-ZA"/>
        </a:p>
      </dgm:t>
    </dgm:pt>
    <dgm:pt modelId="{8B7D3413-71AC-4BAC-AB54-3D01C9F1A420}" type="pres">
      <dgm:prSet presAssocID="{42158EA1-4CAD-4148-B7B0-F68445DF3EC5}" presName="cycle" presStyleCnt="0">
        <dgm:presLayoutVars>
          <dgm:chMax val="1"/>
          <dgm:dir/>
          <dgm:animLvl val="ctr"/>
          <dgm:resizeHandles val="exact"/>
        </dgm:presLayoutVars>
      </dgm:prSet>
      <dgm:spPr/>
    </dgm:pt>
    <dgm:pt modelId="{9C1F42D5-4D7B-45D4-B6C6-A046B89174D4}" type="pres">
      <dgm:prSet presAssocID="{04DBC3A8-75A2-4A4A-B50B-8AA0B842F481}" presName="centerShape" presStyleLbl="node0" presStyleIdx="0" presStyleCnt="1" custScaleX="62646" custScaleY="64278"/>
      <dgm:spPr/>
    </dgm:pt>
    <dgm:pt modelId="{40C94AF3-9D46-436E-8C60-3920587C7FBC}" type="pres">
      <dgm:prSet presAssocID="{DCB377A5-DA62-4554-9BD8-C669B2A6542D}" presName="parTrans" presStyleLbl="bgSibTrans2D1" presStyleIdx="0" presStyleCnt="3"/>
      <dgm:spPr/>
    </dgm:pt>
    <dgm:pt modelId="{44BCE5B4-4F3D-498B-A102-45D44120143F}" type="pres">
      <dgm:prSet presAssocID="{AAA6F397-7DB7-48DD-BC5C-17A3F374B2AE}" presName="node" presStyleLbl="node1" presStyleIdx="0" presStyleCnt="3" custScaleX="131097" custScaleY="128239" custRadScaleRad="106246" custRadScaleInc="-16463">
        <dgm:presLayoutVars>
          <dgm:bulletEnabled val="1"/>
        </dgm:presLayoutVars>
      </dgm:prSet>
      <dgm:spPr/>
    </dgm:pt>
    <dgm:pt modelId="{48C0FC87-3F75-458E-9C10-0B0FBE529BB0}" type="pres">
      <dgm:prSet presAssocID="{0AB996E5-C183-4243-A922-418DBA571B92}" presName="parTrans" presStyleLbl="bgSibTrans2D1" presStyleIdx="1" presStyleCnt="3"/>
      <dgm:spPr/>
    </dgm:pt>
    <dgm:pt modelId="{B0A5E1D8-1DB2-4B88-A865-3E43D2D07797}" type="pres">
      <dgm:prSet presAssocID="{1CF2B0F6-41A6-4AC1-B050-71C8DBF70393}" presName="node" presStyleLbl="node1" presStyleIdx="1" presStyleCnt="3" custScaleX="132292" custScaleY="120908" custRadScaleRad="100006" custRadScaleInc="1002">
        <dgm:presLayoutVars>
          <dgm:bulletEnabled val="1"/>
        </dgm:presLayoutVars>
      </dgm:prSet>
      <dgm:spPr/>
    </dgm:pt>
    <dgm:pt modelId="{106E1452-B28E-4F70-9782-4CA114AABC3D}" type="pres">
      <dgm:prSet presAssocID="{748E2061-550E-410B-BACF-942E157B1200}" presName="parTrans" presStyleLbl="bgSibTrans2D1" presStyleIdx="2" presStyleCnt="3"/>
      <dgm:spPr/>
    </dgm:pt>
    <dgm:pt modelId="{36B67D52-27C2-48F0-979C-6CEDD50A676D}" type="pres">
      <dgm:prSet presAssocID="{54FC590E-FF97-47BD-8974-18EDB56C17E5}" presName="node" presStyleLbl="node1" presStyleIdx="2" presStyleCnt="3" custScaleX="128592" custScaleY="121518" custRadScaleRad="108993" custRadScaleInc="16012">
        <dgm:presLayoutVars>
          <dgm:bulletEnabled val="1"/>
        </dgm:presLayoutVars>
      </dgm:prSet>
      <dgm:spPr/>
    </dgm:pt>
  </dgm:ptLst>
  <dgm:cxnLst>
    <dgm:cxn modelId="{9D629413-52BB-47B2-8BD4-4619DE3A55D2}" type="presOf" srcId="{0AB996E5-C183-4243-A922-418DBA571B92}" destId="{48C0FC87-3F75-458E-9C10-0B0FBE529BB0}" srcOrd="0" destOrd="0" presId="urn:microsoft.com/office/officeart/2005/8/layout/radial4"/>
    <dgm:cxn modelId="{469AF51F-58CB-4281-8B3D-84D63DA6F8E3}" type="presOf" srcId="{AAA6F397-7DB7-48DD-BC5C-17A3F374B2AE}" destId="{44BCE5B4-4F3D-498B-A102-45D44120143F}" srcOrd="0" destOrd="0" presId="urn:microsoft.com/office/officeart/2005/8/layout/radial4"/>
    <dgm:cxn modelId="{1EE38724-BB76-4E4B-8317-28BB2FA03E3B}" srcId="{04DBC3A8-75A2-4A4A-B50B-8AA0B842F481}" destId="{54FC590E-FF97-47BD-8974-18EDB56C17E5}" srcOrd="2" destOrd="0" parTransId="{748E2061-550E-410B-BACF-942E157B1200}" sibTransId="{2FF162AF-584F-4C8A-A27D-D21FAB706286}"/>
    <dgm:cxn modelId="{5CEE7928-E4AB-4F51-A833-2D00974B1E66}" type="presOf" srcId="{04DBC3A8-75A2-4A4A-B50B-8AA0B842F481}" destId="{9C1F42D5-4D7B-45D4-B6C6-A046B89174D4}" srcOrd="0" destOrd="0" presId="urn:microsoft.com/office/officeart/2005/8/layout/radial4"/>
    <dgm:cxn modelId="{13459E5B-02D1-45FA-801C-BC2FA6A04568}" type="presOf" srcId="{1CF2B0F6-41A6-4AC1-B050-71C8DBF70393}" destId="{B0A5E1D8-1DB2-4B88-A865-3E43D2D07797}" srcOrd="0" destOrd="0" presId="urn:microsoft.com/office/officeart/2005/8/layout/radial4"/>
    <dgm:cxn modelId="{4FD25065-9E8C-4D68-9FD9-C55EEB0830EC}" srcId="{04DBC3A8-75A2-4A4A-B50B-8AA0B842F481}" destId="{AAA6F397-7DB7-48DD-BC5C-17A3F374B2AE}" srcOrd="0" destOrd="0" parTransId="{DCB377A5-DA62-4554-9BD8-C669B2A6542D}" sibTransId="{29A72BD0-8080-4E63-9287-8EBB1F95C292}"/>
    <dgm:cxn modelId="{DB89A14C-2CBC-4AF5-B1C3-6F14A3792EE4}" srcId="{42158EA1-4CAD-4148-B7B0-F68445DF3EC5}" destId="{04DBC3A8-75A2-4A4A-B50B-8AA0B842F481}" srcOrd="0" destOrd="0" parTransId="{1D97C05C-F426-4C85-89A5-6C1BE331693E}" sibTransId="{2527A0B5-61D5-468F-ABE3-22F0C3D0D706}"/>
    <dgm:cxn modelId="{94C21F6F-1B83-4BB6-8605-71D205FA6F08}" type="presOf" srcId="{DCB377A5-DA62-4554-9BD8-C669B2A6542D}" destId="{40C94AF3-9D46-436E-8C60-3920587C7FBC}" srcOrd="0" destOrd="0" presId="urn:microsoft.com/office/officeart/2005/8/layout/radial4"/>
    <dgm:cxn modelId="{FF94E291-4DD0-404B-8410-3469B390B5D5}" type="presOf" srcId="{42158EA1-4CAD-4148-B7B0-F68445DF3EC5}" destId="{8B7D3413-71AC-4BAC-AB54-3D01C9F1A420}" srcOrd="0" destOrd="0" presId="urn:microsoft.com/office/officeart/2005/8/layout/radial4"/>
    <dgm:cxn modelId="{4EF3E3A0-43A0-4D20-BB15-EB55AC0873A3}" type="presOf" srcId="{54FC590E-FF97-47BD-8974-18EDB56C17E5}" destId="{36B67D52-27C2-48F0-979C-6CEDD50A676D}" srcOrd="0" destOrd="0" presId="urn:microsoft.com/office/officeart/2005/8/layout/radial4"/>
    <dgm:cxn modelId="{B31CBDB0-A8AF-4D98-8B4B-3E3C3801FFA7}" srcId="{04DBC3A8-75A2-4A4A-B50B-8AA0B842F481}" destId="{1CF2B0F6-41A6-4AC1-B050-71C8DBF70393}" srcOrd="1" destOrd="0" parTransId="{0AB996E5-C183-4243-A922-418DBA571B92}" sibTransId="{C4CFC449-B453-40D7-AFAB-1365391B79B3}"/>
    <dgm:cxn modelId="{EC0DE5DC-D0D6-464A-BBFE-2F7C3F1A3362}" type="presOf" srcId="{748E2061-550E-410B-BACF-942E157B1200}" destId="{106E1452-B28E-4F70-9782-4CA114AABC3D}" srcOrd="0" destOrd="0" presId="urn:microsoft.com/office/officeart/2005/8/layout/radial4"/>
    <dgm:cxn modelId="{CAD698B1-E479-4C27-BB65-EB5C3380EED1}" type="presParOf" srcId="{8B7D3413-71AC-4BAC-AB54-3D01C9F1A420}" destId="{9C1F42D5-4D7B-45D4-B6C6-A046B89174D4}" srcOrd="0" destOrd="0" presId="urn:microsoft.com/office/officeart/2005/8/layout/radial4"/>
    <dgm:cxn modelId="{0CC1E79F-D447-4DAE-8340-C78FBE7B96C5}" type="presParOf" srcId="{8B7D3413-71AC-4BAC-AB54-3D01C9F1A420}" destId="{40C94AF3-9D46-436E-8C60-3920587C7FBC}" srcOrd="1" destOrd="0" presId="urn:microsoft.com/office/officeart/2005/8/layout/radial4"/>
    <dgm:cxn modelId="{43348F34-EFAC-4737-9115-D9FB124DEB7A}" type="presParOf" srcId="{8B7D3413-71AC-4BAC-AB54-3D01C9F1A420}" destId="{44BCE5B4-4F3D-498B-A102-45D44120143F}" srcOrd="2" destOrd="0" presId="urn:microsoft.com/office/officeart/2005/8/layout/radial4"/>
    <dgm:cxn modelId="{EA7CA11F-F08B-459D-AB18-FE7518D5284D}" type="presParOf" srcId="{8B7D3413-71AC-4BAC-AB54-3D01C9F1A420}" destId="{48C0FC87-3F75-458E-9C10-0B0FBE529BB0}" srcOrd="3" destOrd="0" presId="urn:microsoft.com/office/officeart/2005/8/layout/radial4"/>
    <dgm:cxn modelId="{163F75B2-5F17-49C5-9669-D446CB5B9CAF}" type="presParOf" srcId="{8B7D3413-71AC-4BAC-AB54-3D01C9F1A420}" destId="{B0A5E1D8-1DB2-4B88-A865-3E43D2D07797}" srcOrd="4" destOrd="0" presId="urn:microsoft.com/office/officeart/2005/8/layout/radial4"/>
    <dgm:cxn modelId="{8E0EE4DC-BC60-40F4-B27E-2CCF6E9A0725}" type="presParOf" srcId="{8B7D3413-71AC-4BAC-AB54-3D01C9F1A420}" destId="{106E1452-B28E-4F70-9782-4CA114AABC3D}" srcOrd="5" destOrd="0" presId="urn:microsoft.com/office/officeart/2005/8/layout/radial4"/>
    <dgm:cxn modelId="{A6F38CB3-40CD-44FA-A1E5-ADF1755B46A4}" type="presParOf" srcId="{8B7D3413-71AC-4BAC-AB54-3D01C9F1A420}" destId="{36B67D52-27C2-48F0-979C-6CEDD50A676D}" srcOrd="6"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0C75DF-AB2C-460B-97FD-4D2F5B6986DC}" type="doc">
      <dgm:prSet loTypeId="urn:microsoft.com/office/officeart/2011/layout/CircleProcess" loCatId="process" qsTypeId="urn:microsoft.com/office/officeart/2005/8/quickstyle/simple1" qsCatId="simple" csTypeId="urn:microsoft.com/office/officeart/2005/8/colors/accent0_2" csCatId="mainScheme" phldr="1"/>
      <dgm:spPr/>
      <dgm:t>
        <a:bodyPr/>
        <a:lstStyle/>
        <a:p>
          <a:endParaRPr lang="en-ZA"/>
        </a:p>
      </dgm:t>
    </dgm:pt>
    <dgm:pt modelId="{82E01D14-E16D-45B7-A23C-2B08D3E8467C}">
      <dgm:prSet phldrT="[Text]" custT="1"/>
      <dgm:spPr/>
      <dgm:t>
        <a:bodyPr/>
        <a:lstStyle/>
        <a:p>
          <a:r>
            <a:rPr lang="en-ZA" sz="900">
              <a:solidFill>
                <a:sysClr val="windowText" lastClr="000000"/>
              </a:solidFill>
              <a:latin typeface="Arial" panose="020B0604020202020204" pitchFamily="34" charset="0"/>
              <a:cs typeface="Arial" panose="020B0604020202020204" pitchFamily="34" charset="0"/>
            </a:rPr>
            <a:t>Estimate fee that would achieve cost recovery </a:t>
          </a:r>
        </a:p>
      </dgm:t>
    </dgm:pt>
    <dgm:pt modelId="{9734CF9E-0CEF-4CBE-BF9C-D1546744495F}" type="parTrans" cxnId="{56EB323C-8A2A-4729-8AC9-53916032F60E}">
      <dgm:prSet/>
      <dgm:spPr/>
      <dgm:t>
        <a:bodyPr/>
        <a:lstStyle/>
        <a:p>
          <a:endParaRPr lang="en-ZA"/>
        </a:p>
      </dgm:t>
    </dgm:pt>
    <dgm:pt modelId="{154B409F-9414-42AF-B5F2-33C10A026AA3}" type="sibTrans" cxnId="{56EB323C-8A2A-4729-8AC9-53916032F60E}">
      <dgm:prSet/>
      <dgm:spPr/>
      <dgm:t>
        <a:bodyPr/>
        <a:lstStyle/>
        <a:p>
          <a:endParaRPr lang="en-ZA"/>
        </a:p>
      </dgm:t>
    </dgm:pt>
    <dgm:pt modelId="{178782F1-772E-43E0-90E5-FEC05D8401A2}">
      <dgm:prSet phldrT="[Text]" custT="1"/>
      <dgm:spPr/>
      <dgm:t>
        <a:bodyPr/>
        <a:lstStyle/>
        <a:p>
          <a:r>
            <a:rPr lang="en-ZA" sz="900">
              <a:solidFill>
                <a:sysClr val="windowText" lastClr="000000"/>
              </a:solidFill>
              <a:latin typeface="Arial" panose="020B0604020202020204" pitchFamily="34" charset="0"/>
              <a:cs typeface="Arial" panose="020B0604020202020204" pitchFamily="34" charset="0"/>
            </a:rPr>
            <a:t>Adjust for affordability and equity</a:t>
          </a:r>
        </a:p>
      </dgm:t>
    </dgm:pt>
    <dgm:pt modelId="{ACA28E28-FE9C-424A-B4F7-A9F89B0C43C8}" type="parTrans" cxnId="{1812CD9F-D451-414F-A1E0-CB20E76031FB}">
      <dgm:prSet/>
      <dgm:spPr/>
      <dgm:t>
        <a:bodyPr/>
        <a:lstStyle/>
        <a:p>
          <a:endParaRPr lang="en-ZA"/>
        </a:p>
      </dgm:t>
    </dgm:pt>
    <dgm:pt modelId="{D903B7FC-628D-4E09-BD84-CD6248686044}" type="sibTrans" cxnId="{1812CD9F-D451-414F-A1E0-CB20E76031FB}">
      <dgm:prSet/>
      <dgm:spPr/>
      <dgm:t>
        <a:bodyPr/>
        <a:lstStyle/>
        <a:p>
          <a:endParaRPr lang="en-ZA"/>
        </a:p>
      </dgm:t>
    </dgm:pt>
    <dgm:pt modelId="{4362AB65-E9FF-49A8-A0A2-C353D5793313}">
      <dgm:prSet phldrT="[Text]" custT="1"/>
      <dgm:spPr/>
      <dgm:t>
        <a:bodyPr/>
        <a:lstStyle/>
        <a:p>
          <a:r>
            <a:rPr lang="en-ZA" sz="900">
              <a:solidFill>
                <a:sysClr val="windowText" lastClr="000000"/>
              </a:solidFill>
              <a:latin typeface="Arial" panose="020B0604020202020204" pitchFamily="34" charset="0"/>
              <a:cs typeface="Arial" panose="020B0604020202020204" pitchFamily="34" charset="0"/>
            </a:rPr>
            <a:t>Adjust to capture value</a:t>
          </a:r>
        </a:p>
      </dgm:t>
    </dgm:pt>
    <dgm:pt modelId="{6197CDE2-F549-47AC-9F41-8F6DC972A660}" type="parTrans" cxnId="{16D5A56B-10FA-418D-8B54-3075FFBFB67E}">
      <dgm:prSet/>
      <dgm:spPr/>
      <dgm:t>
        <a:bodyPr/>
        <a:lstStyle/>
        <a:p>
          <a:endParaRPr lang="en-ZA"/>
        </a:p>
      </dgm:t>
    </dgm:pt>
    <dgm:pt modelId="{8867594F-46D8-4CB2-9D59-FA117A566C1C}" type="sibTrans" cxnId="{16D5A56B-10FA-418D-8B54-3075FFBFB67E}">
      <dgm:prSet/>
      <dgm:spPr/>
      <dgm:t>
        <a:bodyPr/>
        <a:lstStyle/>
        <a:p>
          <a:endParaRPr lang="en-ZA"/>
        </a:p>
      </dgm:t>
    </dgm:pt>
    <dgm:pt modelId="{577B61E9-C971-4BA7-99C3-716BC276AA1D}">
      <dgm:prSet phldrT="[Text]" custT="1"/>
      <dgm:spPr/>
      <dgm:t>
        <a:bodyPr/>
        <a:lstStyle/>
        <a:p>
          <a:r>
            <a:rPr lang="en-ZA" sz="900">
              <a:solidFill>
                <a:sysClr val="windowText" lastClr="000000"/>
              </a:solidFill>
              <a:latin typeface="Arial" panose="020B0604020202020204" pitchFamily="34" charset="0"/>
              <a:cs typeface="Arial" panose="020B0604020202020204" pitchFamily="34" charset="0"/>
            </a:rPr>
            <a:t>Adjust to support policy objectives</a:t>
          </a:r>
        </a:p>
      </dgm:t>
    </dgm:pt>
    <dgm:pt modelId="{D33A92BF-34DC-4C68-89CD-6F80F9E143A8}" type="parTrans" cxnId="{4B7C543F-2D49-4811-BC51-FF5AD0B94740}">
      <dgm:prSet/>
      <dgm:spPr/>
      <dgm:t>
        <a:bodyPr/>
        <a:lstStyle/>
        <a:p>
          <a:endParaRPr lang="en-ZA"/>
        </a:p>
      </dgm:t>
    </dgm:pt>
    <dgm:pt modelId="{4C58B14E-38BB-4C77-A622-8190BE64130A}" type="sibTrans" cxnId="{4B7C543F-2D49-4811-BC51-FF5AD0B94740}">
      <dgm:prSet/>
      <dgm:spPr/>
      <dgm:t>
        <a:bodyPr/>
        <a:lstStyle/>
        <a:p>
          <a:endParaRPr lang="en-ZA"/>
        </a:p>
      </dgm:t>
    </dgm:pt>
    <dgm:pt modelId="{4ECE8125-E4CC-489D-AE7C-53AD8E335F2D}">
      <dgm:prSet phldrT="[Text]" custT="1"/>
      <dgm:spPr>
        <a:solidFill>
          <a:srgbClr val="CBE4D4">
            <a:alpha val="89804"/>
          </a:srgbClr>
        </a:solidFill>
      </dgm:spPr>
      <dgm:t>
        <a:bodyPr/>
        <a:lstStyle/>
        <a:p>
          <a:r>
            <a:rPr lang="en-ZA" sz="900">
              <a:solidFill>
                <a:sysClr val="windowText" lastClr="000000"/>
              </a:solidFill>
              <a:latin typeface="Arial" panose="020B0604020202020204" pitchFamily="34" charset="0"/>
              <a:cs typeface="Arial" panose="020B0604020202020204" pitchFamily="34" charset="0"/>
            </a:rPr>
            <a:t>Final fees</a:t>
          </a:r>
        </a:p>
      </dgm:t>
    </dgm:pt>
    <dgm:pt modelId="{BADA744E-7948-470A-A9BA-24D3574EFA58}" type="parTrans" cxnId="{C8DAA504-6190-4C2A-BD38-8F366ADB808C}">
      <dgm:prSet/>
      <dgm:spPr/>
      <dgm:t>
        <a:bodyPr/>
        <a:lstStyle/>
        <a:p>
          <a:endParaRPr lang="en-ZA"/>
        </a:p>
      </dgm:t>
    </dgm:pt>
    <dgm:pt modelId="{F45475E9-C6B8-476D-A08E-228D6D58A39B}" type="sibTrans" cxnId="{C8DAA504-6190-4C2A-BD38-8F366ADB808C}">
      <dgm:prSet/>
      <dgm:spPr/>
      <dgm:t>
        <a:bodyPr/>
        <a:lstStyle/>
        <a:p>
          <a:endParaRPr lang="en-ZA"/>
        </a:p>
      </dgm:t>
    </dgm:pt>
    <dgm:pt modelId="{7D718326-D7E0-4C89-9BEC-B6F44771A5F8}">
      <dgm:prSet phldrT="[Text]" custT="1"/>
      <dgm:spPr>
        <a:solidFill>
          <a:srgbClr val="CBE4D4">
            <a:alpha val="90000"/>
          </a:srgbClr>
        </a:solidFill>
      </dgm:spPr>
      <dgm:t>
        <a:bodyPr/>
        <a:lstStyle/>
        <a:p>
          <a:r>
            <a:rPr lang="en-ZA" sz="900">
              <a:solidFill>
                <a:sysClr val="windowText" lastClr="000000"/>
              </a:solidFill>
              <a:latin typeface="Arial" panose="020B0604020202020204" pitchFamily="34" charset="0"/>
              <a:cs typeface="Arial" panose="020B0604020202020204" pitchFamily="34" charset="0"/>
            </a:rPr>
            <a:t>Draft fees</a:t>
          </a:r>
        </a:p>
      </dgm:t>
    </dgm:pt>
    <dgm:pt modelId="{9D2C60CD-52AC-4B70-8E08-DF64C403D455}" type="parTrans" cxnId="{41237274-4379-433C-BF0F-B521C18A4ED3}">
      <dgm:prSet/>
      <dgm:spPr/>
      <dgm:t>
        <a:bodyPr/>
        <a:lstStyle/>
        <a:p>
          <a:endParaRPr lang="en-ZA"/>
        </a:p>
      </dgm:t>
    </dgm:pt>
    <dgm:pt modelId="{74547518-D736-492C-885E-0C70EA6960F3}" type="sibTrans" cxnId="{41237274-4379-433C-BF0F-B521C18A4ED3}">
      <dgm:prSet/>
      <dgm:spPr/>
      <dgm:t>
        <a:bodyPr/>
        <a:lstStyle/>
        <a:p>
          <a:endParaRPr lang="en-ZA"/>
        </a:p>
      </dgm:t>
    </dgm:pt>
    <dgm:pt modelId="{5C864E61-5CA9-4429-BED9-C0FD7748CAA4}" type="pres">
      <dgm:prSet presAssocID="{1A0C75DF-AB2C-460B-97FD-4D2F5B6986DC}" presName="Name0" presStyleCnt="0">
        <dgm:presLayoutVars>
          <dgm:chMax val="11"/>
          <dgm:chPref val="11"/>
          <dgm:dir/>
          <dgm:resizeHandles/>
        </dgm:presLayoutVars>
      </dgm:prSet>
      <dgm:spPr/>
    </dgm:pt>
    <dgm:pt modelId="{D0E57E17-7F55-4F70-9176-575A78C2CAA1}" type="pres">
      <dgm:prSet presAssocID="{4ECE8125-E4CC-489D-AE7C-53AD8E335F2D}" presName="Accent6" presStyleCnt="0"/>
      <dgm:spPr/>
    </dgm:pt>
    <dgm:pt modelId="{65775785-EFB4-4433-8B2C-093B8661916A}" type="pres">
      <dgm:prSet presAssocID="{4ECE8125-E4CC-489D-AE7C-53AD8E335F2D}" presName="Accent" presStyleLbl="node1" presStyleIdx="0" presStyleCnt="6"/>
      <dgm:spPr/>
    </dgm:pt>
    <dgm:pt modelId="{73B269AC-35AF-490A-80BC-2B777943EC80}" type="pres">
      <dgm:prSet presAssocID="{4ECE8125-E4CC-489D-AE7C-53AD8E335F2D}" presName="ParentBackground6" presStyleCnt="0"/>
      <dgm:spPr/>
    </dgm:pt>
    <dgm:pt modelId="{731AFF67-C8C5-49B6-AC76-F7177BD3C187}" type="pres">
      <dgm:prSet presAssocID="{4ECE8125-E4CC-489D-AE7C-53AD8E335F2D}" presName="ParentBackground" presStyleLbl="fgAcc1" presStyleIdx="0" presStyleCnt="6"/>
      <dgm:spPr/>
    </dgm:pt>
    <dgm:pt modelId="{5009E6A8-CB0F-4815-8823-1B369D9E2E3B}" type="pres">
      <dgm:prSet presAssocID="{4ECE8125-E4CC-489D-AE7C-53AD8E335F2D}" presName="Parent6" presStyleLbl="revTx" presStyleIdx="0" presStyleCnt="0">
        <dgm:presLayoutVars>
          <dgm:chMax val="1"/>
          <dgm:chPref val="1"/>
          <dgm:bulletEnabled val="1"/>
        </dgm:presLayoutVars>
      </dgm:prSet>
      <dgm:spPr/>
    </dgm:pt>
    <dgm:pt modelId="{E95D7649-6408-450A-99FA-7B7B52483483}" type="pres">
      <dgm:prSet presAssocID="{7D718326-D7E0-4C89-9BEC-B6F44771A5F8}" presName="Accent5" presStyleCnt="0"/>
      <dgm:spPr/>
    </dgm:pt>
    <dgm:pt modelId="{DD92AFAD-8273-4973-8430-B994A27BEE0C}" type="pres">
      <dgm:prSet presAssocID="{7D718326-D7E0-4C89-9BEC-B6F44771A5F8}" presName="Accent" presStyleLbl="node1" presStyleIdx="1" presStyleCnt="6"/>
      <dgm:spPr>
        <a:solidFill>
          <a:schemeClr val="tx2"/>
        </a:solidFill>
      </dgm:spPr>
    </dgm:pt>
    <dgm:pt modelId="{E949DD25-B1F9-4CE1-A944-3DE9E402228B}" type="pres">
      <dgm:prSet presAssocID="{7D718326-D7E0-4C89-9BEC-B6F44771A5F8}" presName="ParentBackground5" presStyleCnt="0"/>
      <dgm:spPr/>
    </dgm:pt>
    <dgm:pt modelId="{EBD7ABF6-3A5B-4FBE-8F9C-4C11E642ECF4}" type="pres">
      <dgm:prSet presAssocID="{7D718326-D7E0-4C89-9BEC-B6F44771A5F8}" presName="ParentBackground" presStyleLbl="fgAcc1" presStyleIdx="1" presStyleCnt="6"/>
      <dgm:spPr/>
    </dgm:pt>
    <dgm:pt modelId="{046D21F5-040A-4D0C-A37D-6C7D619E8B24}" type="pres">
      <dgm:prSet presAssocID="{7D718326-D7E0-4C89-9BEC-B6F44771A5F8}" presName="Parent5" presStyleLbl="revTx" presStyleIdx="0" presStyleCnt="0">
        <dgm:presLayoutVars>
          <dgm:chMax val="1"/>
          <dgm:chPref val="1"/>
          <dgm:bulletEnabled val="1"/>
        </dgm:presLayoutVars>
      </dgm:prSet>
      <dgm:spPr/>
    </dgm:pt>
    <dgm:pt modelId="{11EE60B7-B3C5-4876-A5A8-FAF85286F7C1}" type="pres">
      <dgm:prSet presAssocID="{577B61E9-C971-4BA7-99C3-716BC276AA1D}" presName="Accent4" presStyleCnt="0"/>
      <dgm:spPr/>
    </dgm:pt>
    <dgm:pt modelId="{3632C52D-2A08-4C6F-A537-11FE9997587E}" type="pres">
      <dgm:prSet presAssocID="{577B61E9-C971-4BA7-99C3-716BC276AA1D}" presName="Accent" presStyleLbl="node1" presStyleIdx="2" presStyleCnt="6"/>
      <dgm:spPr>
        <a:solidFill>
          <a:schemeClr val="tx2"/>
        </a:solidFill>
      </dgm:spPr>
    </dgm:pt>
    <dgm:pt modelId="{694EDC9A-1E39-4ACC-8237-7218C67A0EE1}" type="pres">
      <dgm:prSet presAssocID="{577B61E9-C971-4BA7-99C3-716BC276AA1D}" presName="ParentBackground4" presStyleCnt="0"/>
      <dgm:spPr/>
    </dgm:pt>
    <dgm:pt modelId="{54483CB7-BC9E-449C-931B-F843C7999CAD}" type="pres">
      <dgm:prSet presAssocID="{577B61E9-C971-4BA7-99C3-716BC276AA1D}" presName="ParentBackground" presStyleLbl="fgAcc1" presStyleIdx="2" presStyleCnt="6"/>
      <dgm:spPr/>
    </dgm:pt>
    <dgm:pt modelId="{7A38BA53-DA78-4FC0-9A53-DECCCC314B01}" type="pres">
      <dgm:prSet presAssocID="{577B61E9-C971-4BA7-99C3-716BC276AA1D}" presName="Parent4" presStyleLbl="revTx" presStyleIdx="0" presStyleCnt="0">
        <dgm:presLayoutVars>
          <dgm:chMax val="1"/>
          <dgm:chPref val="1"/>
          <dgm:bulletEnabled val="1"/>
        </dgm:presLayoutVars>
      </dgm:prSet>
      <dgm:spPr/>
    </dgm:pt>
    <dgm:pt modelId="{3AB9EC49-5335-4C8D-90BB-C126A2CAF86E}" type="pres">
      <dgm:prSet presAssocID="{4362AB65-E9FF-49A8-A0A2-C353D5793313}" presName="Accent3" presStyleCnt="0"/>
      <dgm:spPr/>
    </dgm:pt>
    <dgm:pt modelId="{5054C276-1DF1-4481-999E-37AE750DB3B8}" type="pres">
      <dgm:prSet presAssocID="{4362AB65-E9FF-49A8-A0A2-C353D5793313}" presName="Accent" presStyleLbl="node1" presStyleIdx="3" presStyleCnt="6"/>
      <dgm:spPr>
        <a:solidFill>
          <a:schemeClr val="tx2"/>
        </a:solidFill>
      </dgm:spPr>
    </dgm:pt>
    <dgm:pt modelId="{C30B8427-ABA0-456B-B17C-B805D4096608}" type="pres">
      <dgm:prSet presAssocID="{4362AB65-E9FF-49A8-A0A2-C353D5793313}" presName="ParentBackground3" presStyleCnt="0"/>
      <dgm:spPr/>
    </dgm:pt>
    <dgm:pt modelId="{9F001BF3-0CBC-4297-8830-44C9D59B0794}" type="pres">
      <dgm:prSet presAssocID="{4362AB65-E9FF-49A8-A0A2-C353D5793313}" presName="ParentBackground" presStyleLbl="fgAcc1" presStyleIdx="3" presStyleCnt="6"/>
      <dgm:spPr/>
    </dgm:pt>
    <dgm:pt modelId="{C36E35B8-375D-412F-BCE4-67F52B36C6D6}" type="pres">
      <dgm:prSet presAssocID="{4362AB65-E9FF-49A8-A0A2-C353D5793313}" presName="Parent3" presStyleLbl="revTx" presStyleIdx="0" presStyleCnt="0">
        <dgm:presLayoutVars>
          <dgm:chMax val="1"/>
          <dgm:chPref val="1"/>
          <dgm:bulletEnabled val="1"/>
        </dgm:presLayoutVars>
      </dgm:prSet>
      <dgm:spPr/>
    </dgm:pt>
    <dgm:pt modelId="{C50D957F-A84D-4109-BD63-F052FAAA3D0A}" type="pres">
      <dgm:prSet presAssocID="{178782F1-772E-43E0-90E5-FEC05D8401A2}" presName="Accent2" presStyleCnt="0"/>
      <dgm:spPr/>
    </dgm:pt>
    <dgm:pt modelId="{40C64FA2-F22B-499A-98B1-11402F55EF1F}" type="pres">
      <dgm:prSet presAssocID="{178782F1-772E-43E0-90E5-FEC05D8401A2}" presName="Accent" presStyleLbl="node1" presStyleIdx="4" presStyleCnt="6"/>
      <dgm:spPr>
        <a:solidFill>
          <a:schemeClr val="tx2"/>
        </a:solidFill>
      </dgm:spPr>
    </dgm:pt>
    <dgm:pt modelId="{578D165C-6504-4A29-8694-9A44C8963A6B}" type="pres">
      <dgm:prSet presAssocID="{178782F1-772E-43E0-90E5-FEC05D8401A2}" presName="ParentBackground2" presStyleCnt="0"/>
      <dgm:spPr/>
    </dgm:pt>
    <dgm:pt modelId="{8B5A33C9-FB4B-4FA7-B9D8-18F8E42D6F3B}" type="pres">
      <dgm:prSet presAssocID="{178782F1-772E-43E0-90E5-FEC05D8401A2}" presName="ParentBackground" presStyleLbl="fgAcc1" presStyleIdx="4" presStyleCnt="6"/>
      <dgm:spPr/>
    </dgm:pt>
    <dgm:pt modelId="{F216590C-C79D-4A47-B70F-35D84D3E3C8F}" type="pres">
      <dgm:prSet presAssocID="{178782F1-772E-43E0-90E5-FEC05D8401A2}" presName="Parent2" presStyleLbl="revTx" presStyleIdx="0" presStyleCnt="0">
        <dgm:presLayoutVars>
          <dgm:chMax val="1"/>
          <dgm:chPref val="1"/>
          <dgm:bulletEnabled val="1"/>
        </dgm:presLayoutVars>
      </dgm:prSet>
      <dgm:spPr/>
    </dgm:pt>
    <dgm:pt modelId="{3936AA6F-DAD7-4D79-82ED-6B913992B81B}" type="pres">
      <dgm:prSet presAssocID="{82E01D14-E16D-45B7-A23C-2B08D3E8467C}" presName="Accent1" presStyleCnt="0"/>
      <dgm:spPr/>
    </dgm:pt>
    <dgm:pt modelId="{D733658F-512A-433D-8398-86F4D23A17A9}" type="pres">
      <dgm:prSet presAssocID="{82E01D14-E16D-45B7-A23C-2B08D3E8467C}" presName="Accent" presStyleLbl="node1" presStyleIdx="5" presStyleCnt="6"/>
      <dgm:spPr>
        <a:solidFill>
          <a:schemeClr val="tx2"/>
        </a:solidFill>
      </dgm:spPr>
    </dgm:pt>
    <dgm:pt modelId="{D82851FC-D5E1-422C-B3A1-D31138A7A71C}" type="pres">
      <dgm:prSet presAssocID="{82E01D14-E16D-45B7-A23C-2B08D3E8467C}" presName="ParentBackground1" presStyleCnt="0"/>
      <dgm:spPr/>
    </dgm:pt>
    <dgm:pt modelId="{0CBCCAAF-ED40-4E47-9B62-98EFF38CD8F9}" type="pres">
      <dgm:prSet presAssocID="{82E01D14-E16D-45B7-A23C-2B08D3E8467C}" presName="ParentBackground" presStyleLbl="fgAcc1" presStyleIdx="5" presStyleCnt="6"/>
      <dgm:spPr/>
    </dgm:pt>
    <dgm:pt modelId="{05D6330C-D3AD-4A14-B998-76E2D06CF5D4}" type="pres">
      <dgm:prSet presAssocID="{82E01D14-E16D-45B7-A23C-2B08D3E8467C}" presName="Parent1" presStyleLbl="revTx" presStyleIdx="0" presStyleCnt="0">
        <dgm:presLayoutVars>
          <dgm:chMax val="1"/>
          <dgm:chPref val="1"/>
          <dgm:bulletEnabled val="1"/>
        </dgm:presLayoutVars>
      </dgm:prSet>
      <dgm:spPr/>
    </dgm:pt>
  </dgm:ptLst>
  <dgm:cxnLst>
    <dgm:cxn modelId="{9E15C802-56C7-4558-94E4-CD48623E0EDA}" type="presOf" srcId="{4ECE8125-E4CC-489D-AE7C-53AD8E335F2D}" destId="{731AFF67-C8C5-49B6-AC76-F7177BD3C187}" srcOrd="0" destOrd="0" presId="urn:microsoft.com/office/officeart/2011/layout/CircleProcess"/>
    <dgm:cxn modelId="{C8DAA504-6190-4C2A-BD38-8F366ADB808C}" srcId="{1A0C75DF-AB2C-460B-97FD-4D2F5B6986DC}" destId="{4ECE8125-E4CC-489D-AE7C-53AD8E335F2D}" srcOrd="5" destOrd="0" parTransId="{BADA744E-7948-470A-A9BA-24D3574EFA58}" sibTransId="{F45475E9-C6B8-476D-A08E-228D6D58A39B}"/>
    <dgm:cxn modelId="{3BADCC09-4525-44E0-865D-D1E6EE8FF653}" type="presOf" srcId="{4ECE8125-E4CC-489D-AE7C-53AD8E335F2D}" destId="{5009E6A8-CB0F-4815-8823-1B369D9E2E3B}" srcOrd="1" destOrd="0" presId="urn:microsoft.com/office/officeart/2011/layout/CircleProcess"/>
    <dgm:cxn modelId="{282F2630-78FD-4E1F-8191-91CF1AFF1DD4}" type="presOf" srcId="{178782F1-772E-43E0-90E5-FEC05D8401A2}" destId="{F216590C-C79D-4A47-B70F-35D84D3E3C8F}" srcOrd="1" destOrd="0" presId="urn:microsoft.com/office/officeart/2011/layout/CircleProcess"/>
    <dgm:cxn modelId="{56EB323C-8A2A-4729-8AC9-53916032F60E}" srcId="{1A0C75DF-AB2C-460B-97FD-4D2F5B6986DC}" destId="{82E01D14-E16D-45B7-A23C-2B08D3E8467C}" srcOrd="0" destOrd="0" parTransId="{9734CF9E-0CEF-4CBE-BF9C-D1546744495F}" sibTransId="{154B409F-9414-42AF-B5F2-33C10A026AA3}"/>
    <dgm:cxn modelId="{4B7C543F-2D49-4811-BC51-FF5AD0B94740}" srcId="{1A0C75DF-AB2C-460B-97FD-4D2F5B6986DC}" destId="{577B61E9-C971-4BA7-99C3-716BC276AA1D}" srcOrd="3" destOrd="0" parTransId="{D33A92BF-34DC-4C68-89CD-6F80F9E143A8}" sibTransId="{4C58B14E-38BB-4C77-A622-8190BE64130A}"/>
    <dgm:cxn modelId="{16D5A56B-10FA-418D-8B54-3075FFBFB67E}" srcId="{1A0C75DF-AB2C-460B-97FD-4D2F5B6986DC}" destId="{4362AB65-E9FF-49A8-A0A2-C353D5793313}" srcOrd="2" destOrd="0" parTransId="{6197CDE2-F549-47AC-9F41-8F6DC972A660}" sibTransId="{8867594F-46D8-4CB2-9D59-FA117A566C1C}"/>
    <dgm:cxn modelId="{631C5871-FD29-47C2-AE38-CD3030DC5752}" type="presOf" srcId="{7D718326-D7E0-4C89-9BEC-B6F44771A5F8}" destId="{EBD7ABF6-3A5B-4FBE-8F9C-4C11E642ECF4}" srcOrd="0" destOrd="0" presId="urn:microsoft.com/office/officeart/2011/layout/CircleProcess"/>
    <dgm:cxn modelId="{41237274-4379-433C-BF0F-B521C18A4ED3}" srcId="{1A0C75DF-AB2C-460B-97FD-4D2F5B6986DC}" destId="{7D718326-D7E0-4C89-9BEC-B6F44771A5F8}" srcOrd="4" destOrd="0" parTransId="{9D2C60CD-52AC-4B70-8E08-DF64C403D455}" sibTransId="{74547518-D736-492C-885E-0C70EA6960F3}"/>
    <dgm:cxn modelId="{CB0A4589-7EAE-4445-AE3C-FE2508B5CE5A}" type="presOf" srcId="{178782F1-772E-43E0-90E5-FEC05D8401A2}" destId="{8B5A33C9-FB4B-4FA7-B9D8-18F8E42D6F3B}" srcOrd="0" destOrd="0" presId="urn:microsoft.com/office/officeart/2011/layout/CircleProcess"/>
    <dgm:cxn modelId="{7AFB6C91-C5E6-46EC-A704-46E0376C46DA}" type="presOf" srcId="{82E01D14-E16D-45B7-A23C-2B08D3E8467C}" destId="{0CBCCAAF-ED40-4E47-9B62-98EFF38CD8F9}" srcOrd="0" destOrd="0" presId="urn:microsoft.com/office/officeart/2011/layout/CircleProcess"/>
    <dgm:cxn modelId="{2C57079F-5F50-4279-9FB5-453C9DFDFB99}" type="presOf" srcId="{577B61E9-C971-4BA7-99C3-716BC276AA1D}" destId="{7A38BA53-DA78-4FC0-9A53-DECCCC314B01}" srcOrd="1" destOrd="0" presId="urn:microsoft.com/office/officeart/2011/layout/CircleProcess"/>
    <dgm:cxn modelId="{1812CD9F-D451-414F-A1E0-CB20E76031FB}" srcId="{1A0C75DF-AB2C-460B-97FD-4D2F5B6986DC}" destId="{178782F1-772E-43E0-90E5-FEC05D8401A2}" srcOrd="1" destOrd="0" parTransId="{ACA28E28-FE9C-424A-B4F7-A9F89B0C43C8}" sibTransId="{D903B7FC-628D-4E09-BD84-CD6248686044}"/>
    <dgm:cxn modelId="{BCC747A3-67CE-428C-BE9F-ACD07CEBCC83}" type="presOf" srcId="{1A0C75DF-AB2C-460B-97FD-4D2F5B6986DC}" destId="{5C864E61-5CA9-4429-BED9-C0FD7748CAA4}" srcOrd="0" destOrd="0" presId="urn:microsoft.com/office/officeart/2011/layout/CircleProcess"/>
    <dgm:cxn modelId="{1CBD20AC-D14E-4F5C-9487-12407188670B}" type="presOf" srcId="{4362AB65-E9FF-49A8-A0A2-C353D5793313}" destId="{C36E35B8-375D-412F-BCE4-67F52B36C6D6}" srcOrd="1" destOrd="0" presId="urn:microsoft.com/office/officeart/2011/layout/CircleProcess"/>
    <dgm:cxn modelId="{6F10EEAC-351B-44D9-AE3F-8A537624B72A}" type="presOf" srcId="{4362AB65-E9FF-49A8-A0A2-C353D5793313}" destId="{9F001BF3-0CBC-4297-8830-44C9D59B0794}" srcOrd="0" destOrd="0" presId="urn:microsoft.com/office/officeart/2011/layout/CircleProcess"/>
    <dgm:cxn modelId="{DF1202C7-6ADD-4438-BF33-F13FF3316E18}" type="presOf" srcId="{82E01D14-E16D-45B7-A23C-2B08D3E8467C}" destId="{05D6330C-D3AD-4A14-B998-76E2D06CF5D4}" srcOrd="1" destOrd="0" presId="urn:microsoft.com/office/officeart/2011/layout/CircleProcess"/>
    <dgm:cxn modelId="{E47280F1-C624-434B-A6E4-079A05FC2418}" type="presOf" srcId="{7D718326-D7E0-4C89-9BEC-B6F44771A5F8}" destId="{046D21F5-040A-4D0C-A37D-6C7D619E8B24}" srcOrd="1" destOrd="0" presId="urn:microsoft.com/office/officeart/2011/layout/CircleProcess"/>
    <dgm:cxn modelId="{FA0CE0FF-9A86-4305-8290-C3E5634D9927}" type="presOf" srcId="{577B61E9-C971-4BA7-99C3-716BC276AA1D}" destId="{54483CB7-BC9E-449C-931B-F843C7999CAD}" srcOrd="0" destOrd="0" presId="urn:microsoft.com/office/officeart/2011/layout/CircleProcess"/>
    <dgm:cxn modelId="{410E645A-9B40-446A-BE74-D553333AC368}" type="presParOf" srcId="{5C864E61-5CA9-4429-BED9-C0FD7748CAA4}" destId="{D0E57E17-7F55-4F70-9176-575A78C2CAA1}" srcOrd="0" destOrd="0" presId="urn:microsoft.com/office/officeart/2011/layout/CircleProcess"/>
    <dgm:cxn modelId="{4BB8E184-CF4D-41D9-8168-E65091369C53}" type="presParOf" srcId="{D0E57E17-7F55-4F70-9176-575A78C2CAA1}" destId="{65775785-EFB4-4433-8B2C-093B8661916A}" srcOrd="0" destOrd="0" presId="urn:microsoft.com/office/officeart/2011/layout/CircleProcess"/>
    <dgm:cxn modelId="{F8F6C1A2-4B3B-4A50-B320-725AA1B48278}" type="presParOf" srcId="{5C864E61-5CA9-4429-BED9-C0FD7748CAA4}" destId="{73B269AC-35AF-490A-80BC-2B777943EC80}" srcOrd="1" destOrd="0" presId="urn:microsoft.com/office/officeart/2011/layout/CircleProcess"/>
    <dgm:cxn modelId="{A16FE58E-185A-4E09-AAA6-06C8E841288F}" type="presParOf" srcId="{73B269AC-35AF-490A-80BC-2B777943EC80}" destId="{731AFF67-C8C5-49B6-AC76-F7177BD3C187}" srcOrd="0" destOrd="0" presId="urn:microsoft.com/office/officeart/2011/layout/CircleProcess"/>
    <dgm:cxn modelId="{8DF7BEB0-7DA2-4859-8F06-4C0E4F5896D5}" type="presParOf" srcId="{5C864E61-5CA9-4429-BED9-C0FD7748CAA4}" destId="{5009E6A8-CB0F-4815-8823-1B369D9E2E3B}" srcOrd="2" destOrd="0" presId="urn:microsoft.com/office/officeart/2011/layout/CircleProcess"/>
    <dgm:cxn modelId="{A6FF53F8-9556-4360-B821-B7D4C9347FEE}" type="presParOf" srcId="{5C864E61-5CA9-4429-BED9-C0FD7748CAA4}" destId="{E95D7649-6408-450A-99FA-7B7B52483483}" srcOrd="3" destOrd="0" presId="urn:microsoft.com/office/officeart/2011/layout/CircleProcess"/>
    <dgm:cxn modelId="{8A64F989-69EA-42F1-96C5-F4F4851C8BD9}" type="presParOf" srcId="{E95D7649-6408-450A-99FA-7B7B52483483}" destId="{DD92AFAD-8273-4973-8430-B994A27BEE0C}" srcOrd="0" destOrd="0" presId="urn:microsoft.com/office/officeart/2011/layout/CircleProcess"/>
    <dgm:cxn modelId="{DA2817B9-B60C-4AE3-9489-47D60495455F}" type="presParOf" srcId="{5C864E61-5CA9-4429-BED9-C0FD7748CAA4}" destId="{E949DD25-B1F9-4CE1-A944-3DE9E402228B}" srcOrd="4" destOrd="0" presId="urn:microsoft.com/office/officeart/2011/layout/CircleProcess"/>
    <dgm:cxn modelId="{0ADD7789-680B-4881-BEAF-044BB19E8F84}" type="presParOf" srcId="{E949DD25-B1F9-4CE1-A944-3DE9E402228B}" destId="{EBD7ABF6-3A5B-4FBE-8F9C-4C11E642ECF4}" srcOrd="0" destOrd="0" presId="urn:microsoft.com/office/officeart/2011/layout/CircleProcess"/>
    <dgm:cxn modelId="{291A6987-F4C3-4E03-B612-C2F56A24F3A3}" type="presParOf" srcId="{5C864E61-5CA9-4429-BED9-C0FD7748CAA4}" destId="{046D21F5-040A-4D0C-A37D-6C7D619E8B24}" srcOrd="5" destOrd="0" presId="urn:microsoft.com/office/officeart/2011/layout/CircleProcess"/>
    <dgm:cxn modelId="{E09B71E9-F5CD-4FDE-8B36-76CF6AC57D36}" type="presParOf" srcId="{5C864E61-5CA9-4429-BED9-C0FD7748CAA4}" destId="{11EE60B7-B3C5-4876-A5A8-FAF85286F7C1}" srcOrd="6" destOrd="0" presId="urn:microsoft.com/office/officeart/2011/layout/CircleProcess"/>
    <dgm:cxn modelId="{4238F640-6DE6-47A1-857F-B77AA56F9F42}" type="presParOf" srcId="{11EE60B7-B3C5-4876-A5A8-FAF85286F7C1}" destId="{3632C52D-2A08-4C6F-A537-11FE9997587E}" srcOrd="0" destOrd="0" presId="urn:microsoft.com/office/officeart/2011/layout/CircleProcess"/>
    <dgm:cxn modelId="{F6B6529A-99CB-483A-8ED9-14AFC22578D1}" type="presParOf" srcId="{5C864E61-5CA9-4429-BED9-C0FD7748CAA4}" destId="{694EDC9A-1E39-4ACC-8237-7218C67A0EE1}" srcOrd="7" destOrd="0" presId="urn:microsoft.com/office/officeart/2011/layout/CircleProcess"/>
    <dgm:cxn modelId="{3FC789C5-5E3B-4E37-BF27-3D46403D88DC}" type="presParOf" srcId="{694EDC9A-1E39-4ACC-8237-7218C67A0EE1}" destId="{54483CB7-BC9E-449C-931B-F843C7999CAD}" srcOrd="0" destOrd="0" presId="urn:microsoft.com/office/officeart/2011/layout/CircleProcess"/>
    <dgm:cxn modelId="{2A946A9F-7222-4977-9B78-5FEC0CB03EB1}" type="presParOf" srcId="{5C864E61-5CA9-4429-BED9-C0FD7748CAA4}" destId="{7A38BA53-DA78-4FC0-9A53-DECCCC314B01}" srcOrd="8" destOrd="0" presId="urn:microsoft.com/office/officeart/2011/layout/CircleProcess"/>
    <dgm:cxn modelId="{04A91556-41AB-4017-A4FF-70282F5CB339}" type="presParOf" srcId="{5C864E61-5CA9-4429-BED9-C0FD7748CAA4}" destId="{3AB9EC49-5335-4C8D-90BB-C126A2CAF86E}" srcOrd="9" destOrd="0" presId="urn:microsoft.com/office/officeart/2011/layout/CircleProcess"/>
    <dgm:cxn modelId="{1DA2A46B-8D94-4CDD-B269-1F2EE5CABC3E}" type="presParOf" srcId="{3AB9EC49-5335-4C8D-90BB-C126A2CAF86E}" destId="{5054C276-1DF1-4481-999E-37AE750DB3B8}" srcOrd="0" destOrd="0" presId="urn:microsoft.com/office/officeart/2011/layout/CircleProcess"/>
    <dgm:cxn modelId="{3A806E4F-2215-4DE0-8DA9-4B9B312C7C5B}" type="presParOf" srcId="{5C864E61-5CA9-4429-BED9-C0FD7748CAA4}" destId="{C30B8427-ABA0-456B-B17C-B805D4096608}" srcOrd="10" destOrd="0" presId="urn:microsoft.com/office/officeart/2011/layout/CircleProcess"/>
    <dgm:cxn modelId="{90500B9F-98C7-46E7-A72B-A49AF0AF589F}" type="presParOf" srcId="{C30B8427-ABA0-456B-B17C-B805D4096608}" destId="{9F001BF3-0CBC-4297-8830-44C9D59B0794}" srcOrd="0" destOrd="0" presId="urn:microsoft.com/office/officeart/2011/layout/CircleProcess"/>
    <dgm:cxn modelId="{A6C8E2BA-8A0F-4A85-99FC-ACE156074F4F}" type="presParOf" srcId="{5C864E61-5CA9-4429-BED9-C0FD7748CAA4}" destId="{C36E35B8-375D-412F-BCE4-67F52B36C6D6}" srcOrd="11" destOrd="0" presId="urn:microsoft.com/office/officeart/2011/layout/CircleProcess"/>
    <dgm:cxn modelId="{CBBA4F30-D455-4089-B6BB-7C6269BA7964}" type="presParOf" srcId="{5C864E61-5CA9-4429-BED9-C0FD7748CAA4}" destId="{C50D957F-A84D-4109-BD63-F052FAAA3D0A}" srcOrd="12" destOrd="0" presId="urn:microsoft.com/office/officeart/2011/layout/CircleProcess"/>
    <dgm:cxn modelId="{DEAE9583-5795-4E26-A9C7-8C0034E96C9A}" type="presParOf" srcId="{C50D957F-A84D-4109-BD63-F052FAAA3D0A}" destId="{40C64FA2-F22B-499A-98B1-11402F55EF1F}" srcOrd="0" destOrd="0" presId="urn:microsoft.com/office/officeart/2011/layout/CircleProcess"/>
    <dgm:cxn modelId="{5B0ADD1E-0868-4CED-B5B2-610D91740B5B}" type="presParOf" srcId="{5C864E61-5CA9-4429-BED9-C0FD7748CAA4}" destId="{578D165C-6504-4A29-8694-9A44C8963A6B}" srcOrd="13" destOrd="0" presId="urn:microsoft.com/office/officeart/2011/layout/CircleProcess"/>
    <dgm:cxn modelId="{7FAE5BF7-C2DC-4D26-8087-C7D70681B17F}" type="presParOf" srcId="{578D165C-6504-4A29-8694-9A44C8963A6B}" destId="{8B5A33C9-FB4B-4FA7-B9D8-18F8E42D6F3B}" srcOrd="0" destOrd="0" presId="urn:microsoft.com/office/officeart/2011/layout/CircleProcess"/>
    <dgm:cxn modelId="{9D9DFA82-2DB4-4681-8732-D01B9D2A450E}" type="presParOf" srcId="{5C864E61-5CA9-4429-BED9-C0FD7748CAA4}" destId="{F216590C-C79D-4A47-B70F-35D84D3E3C8F}" srcOrd="14" destOrd="0" presId="urn:microsoft.com/office/officeart/2011/layout/CircleProcess"/>
    <dgm:cxn modelId="{DEBC4473-1E33-4B0E-ABE1-E94192B7BD29}" type="presParOf" srcId="{5C864E61-5CA9-4429-BED9-C0FD7748CAA4}" destId="{3936AA6F-DAD7-4D79-82ED-6B913992B81B}" srcOrd="15" destOrd="0" presId="urn:microsoft.com/office/officeart/2011/layout/CircleProcess"/>
    <dgm:cxn modelId="{5ADEFC57-BA59-4804-821D-A61D8ADC1DD2}" type="presParOf" srcId="{3936AA6F-DAD7-4D79-82ED-6B913992B81B}" destId="{D733658F-512A-433D-8398-86F4D23A17A9}" srcOrd="0" destOrd="0" presId="urn:microsoft.com/office/officeart/2011/layout/CircleProcess"/>
    <dgm:cxn modelId="{F1F9C509-40FB-4D26-A294-C15422E8C396}" type="presParOf" srcId="{5C864E61-5CA9-4429-BED9-C0FD7748CAA4}" destId="{D82851FC-D5E1-422C-B3A1-D31138A7A71C}" srcOrd="16" destOrd="0" presId="urn:microsoft.com/office/officeart/2011/layout/CircleProcess"/>
    <dgm:cxn modelId="{6590AE66-F1D4-4540-8C8A-B038EFE66BE7}" type="presParOf" srcId="{D82851FC-D5E1-422C-B3A1-D31138A7A71C}" destId="{0CBCCAAF-ED40-4E47-9B62-98EFF38CD8F9}" srcOrd="0" destOrd="0" presId="urn:microsoft.com/office/officeart/2011/layout/CircleProcess"/>
    <dgm:cxn modelId="{536F238D-FAA0-40B6-860C-06A3E0284C65}" type="presParOf" srcId="{5C864E61-5CA9-4429-BED9-C0FD7748CAA4}" destId="{05D6330C-D3AD-4A14-B998-76E2D06CF5D4}" srcOrd="17" destOrd="0" presId="urn:microsoft.com/office/officeart/2011/layout/Circle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C86D0-FD23-451A-A911-B16937DD819A}">
      <dsp:nvSpPr>
        <dsp:cNvPr id="0" name=""/>
        <dsp:cNvSpPr/>
      </dsp:nvSpPr>
      <dsp:spPr>
        <a:xfrm rot="5400000">
          <a:off x="-169242" y="171577"/>
          <a:ext cx="1128285" cy="789799"/>
        </a:xfrm>
        <a:prstGeom prst="chevron">
          <a:avLst/>
        </a:prstGeom>
        <a:solidFill>
          <a:srgbClr val="00B050"/>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b="1" kern="1200">
              <a:solidFill>
                <a:srgbClr val="FFFFFF"/>
              </a:solidFill>
              <a:latin typeface="+mj-lt"/>
            </a:rPr>
            <a:t>Baseline Report</a:t>
          </a:r>
        </a:p>
      </dsp:txBody>
      <dsp:txXfrm rot="-5400000">
        <a:off x="2" y="397234"/>
        <a:ext cx="789799" cy="338486"/>
      </dsp:txXfrm>
    </dsp:sp>
    <dsp:sp modelId="{164731C1-60B2-40F4-8784-D037F76A0B91}">
      <dsp:nvSpPr>
        <dsp:cNvPr id="0" name=""/>
        <dsp:cNvSpPr/>
      </dsp:nvSpPr>
      <dsp:spPr>
        <a:xfrm rot="5400000">
          <a:off x="2926982" y="-2134847"/>
          <a:ext cx="733385" cy="5007750"/>
        </a:xfrm>
        <a:prstGeom prst="round2SameRect">
          <a:avLst/>
        </a:prstGeom>
        <a:solidFill>
          <a:schemeClr val="tx1">
            <a:lumMod val="20000"/>
            <a:lumOff val="8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Legislative context and issuing authorities profiles.</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Permit, licence types or categories and fee amounts.</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The process used to update fees and considerations or criteria used for setting fees. </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Number of permits or licences issued per year and revenue.</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Budget allocations to sub-directorates / units that issue permits, licences.</a:t>
          </a:r>
          <a:endParaRPr lang="en-ZA" sz="900" kern="1200">
            <a:solidFill>
              <a:sysClr val="windowText" lastClr="000000"/>
            </a:solidFill>
            <a:latin typeface="Arial" panose="020B0604020202020204" pitchFamily="34" charset="0"/>
            <a:cs typeface="Arial" panose="020B0604020202020204" pitchFamily="34" charset="0"/>
          </a:endParaRPr>
        </a:p>
      </dsp:txBody>
      <dsp:txXfrm rot="-5400000">
        <a:off x="789800" y="38136"/>
        <a:ext cx="4971949" cy="661783"/>
      </dsp:txXfrm>
    </dsp:sp>
    <dsp:sp modelId="{A415E2C5-653C-4EBB-930F-51BF307B16E5}">
      <dsp:nvSpPr>
        <dsp:cNvPr id="0" name=""/>
        <dsp:cNvSpPr/>
      </dsp:nvSpPr>
      <dsp:spPr>
        <a:xfrm rot="5400000">
          <a:off x="-169242" y="1097350"/>
          <a:ext cx="1128285" cy="789799"/>
        </a:xfrm>
        <a:prstGeom prst="chevron">
          <a:avLst/>
        </a:prstGeom>
        <a:solidFill>
          <a:srgbClr val="00B050"/>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b="1" kern="1200">
              <a:solidFill>
                <a:srgbClr val="FFFFFF"/>
              </a:solidFill>
              <a:latin typeface="+mj-lt"/>
            </a:rPr>
            <a:t>Analysis Report</a:t>
          </a:r>
        </a:p>
      </dsp:txBody>
      <dsp:txXfrm rot="-5400000">
        <a:off x="2" y="1323007"/>
        <a:ext cx="789799" cy="338486"/>
      </dsp:txXfrm>
    </dsp:sp>
    <dsp:sp modelId="{0952F370-E48F-49E1-9B62-AD03F19AC5F0}">
      <dsp:nvSpPr>
        <dsp:cNvPr id="0" name=""/>
        <dsp:cNvSpPr/>
      </dsp:nvSpPr>
      <dsp:spPr>
        <a:xfrm rot="5400000">
          <a:off x="2926982" y="-1209075"/>
          <a:ext cx="733385" cy="5007750"/>
        </a:xfrm>
        <a:prstGeom prst="round2SameRect">
          <a:avLst/>
        </a:prstGeom>
        <a:solidFill>
          <a:schemeClr val="tx1">
            <a:lumMod val="20000"/>
            <a:lumOff val="8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Requirements of government financial management and lessons from similar SA fees. </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Adjustment of permit fee amounts for inflation. </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Local and international benchmarking of fee determination considerations and amounts. </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Determination of processing costs associated with issuing permits and licences.</a:t>
          </a:r>
          <a:endParaRPr lang="en-ZA" sz="900" kern="120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solidFill>
              <a:latin typeface="Arial" panose="020B0604020202020204" pitchFamily="34" charset="0"/>
              <a:cs typeface="Arial" panose="020B0604020202020204" pitchFamily="34" charset="0"/>
            </a:rPr>
            <a:t>Review of frameworks for fee determination. </a:t>
          </a:r>
          <a:endParaRPr lang="en-ZA" sz="900" kern="1200">
            <a:solidFill>
              <a:sysClr val="windowText" lastClr="000000"/>
            </a:solidFill>
            <a:latin typeface="Arial" panose="020B0604020202020204" pitchFamily="34" charset="0"/>
            <a:cs typeface="Arial" panose="020B0604020202020204" pitchFamily="34" charset="0"/>
          </a:endParaRPr>
        </a:p>
      </dsp:txBody>
      <dsp:txXfrm rot="-5400000">
        <a:off x="789800" y="963908"/>
        <a:ext cx="4971949" cy="661783"/>
      </dsp:txXfrm>
    </dsp:sp>
    <dsp:sp modelId="{261877E6-6063-4373-A2AF-2718BA3A80EB}">
      <dsp:nvSpPr>
        <dsp:cNvPr id="0" name=""/>
        <dsp:cNvSpPr/>
      </dsp:nvSpPr>
      <dsp:spPr>
        <a:xfrm rot="5400000">
          <a:off x="-169242" y="2023122"/>
          <a:ext cx="1128285" cy="789799"/>
        </a:xfrm>
        <a:prstGeom prst="chevron">
          <a:avLst/>
        </a:prstGeom>
        <a:solidFill>
          <a:srgbClr val="00B050"/>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b="1" kern="1200">
              <a:solidFill>
                <a:srgbClr val="FFFFFF"/>
              </a:solidFill>
              <a:latin typeface="+mj-lt"/>
            </a:rPr>
            <a:t>Fee Determination Framework</a:t>
          </a:r>
        </a:p>
      </dsp:txBody>
      <dsp:txXfrm rot="-5400000">
        <a:off x="2" y="2248779"/>
        <a:ext cx="789799" cy="338486"/>
      </dsp:txXfrm>
    </dsp:sp>
    <dsp:sp modelId="{66ED4A1E-EAF2-4B0D-9EA0-CFF514F70969}">
      <dsp:nvSpPr>
        <dsp:cNvPr id="0" name=""/>
        <dsp:cNvSpPr/>
      </dsp:nvSpPr>
      <dsp:spPr>
        <a:xfrm rot="5400000">
          <a:off x="2926789" y="-283109"/>
          <a:ext cx="733771" cy="5007750"/>
        </a:xfrm>
        <a:prstGeom prst="round2SameRect">
          <a:avLst/>
        </a:prstGeom>
        <a:solidFill>
          <a:schemeClr val="tx1">
            <a:lumMod val="20000"/>
            <a:lumOff val="8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solidFill>
              <a:latin typeface="Arial" panose="020B0604020202020204" pitchFamily="34" charset="0"/>
              <a:cs typeface="Arial" panose="020B0604020202020204" pitchFamily="34" charset="0"/>
            </a:rPr>
            <a:t>Broad guidance for the appropriate determination or setting of new or revised fees for national and provincial permits and licences under NEMBA</a:t>
          </a:r>
          <a:r>
            <a:rPr lang="en-US" sz="900" kern="1200">
              <a:latin typeface="Arial" panose="020B0604020202020204" pitchFamily="34" charset="0"/>
              <a:cs typeface="Arial" panose="020B0604020202020204" pitchFamily="34" charset="0"/>
            </a:rPr>
            <a:t>.</a:t>
          </a:r>
          <a:r>
            <a:rPr lang="en-ZA" sz="900" kern="1200">
              <a:latin typeface="Arial" panose="020B0604020202020204" pitchFamily="34" charset="0"/>
              <a:cs typeface="Arial" panose="020B0604020202020204" pitchFamily="34" charset="0"/>
            </a:rPr>
            <a:t> </a:t>
          </a:r>
        </a:p>
      </dsp:txBody>
      <dsp:txXfrm rot="-5400000">
        <a:off x="789800" y="1889700"/>
        <a:ext cx="4971930" cy="662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F42D5-4D7B-45D4-B6C6-A046B89174D4}">
      <dsp:nvSpPr>
        <dsp:cNvPr id="0" name=""/>
        <dsp:cNvSpPr/>
      </dsp:nvSpPr>
      <dsp:spPr>
        <a:xfrm>
          <a:off x="2425451" y="2293403"/>
          <a:ext cx="958502" cy="983473"/>
        </a:xfrm>
        <a:prstGeom prst="ellipse">
          <a:avLst/>
        </a:prstGeom>
        <a:solidFill>
          <a:srgbClr val="00B16B"/>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b="1" kern="1200">
              <a:solidFill>
                <a:srgbClr val="FFFFFF"/>
              </a:solidFill>
              <a:latin typeface="Arial" panose="020B0604020202020204" pitchFamily="34" charset="0"/>
              <a:cs typeface="Arial" panose="020B0604020202020204" pitchFamily="34" charset="0"/>
            </a:rPr>
            <a:t>Appropriate fees</a:t>
          </a:r>
        </a:p>
      </dsp:txBody>
      <dsp:txXfrm>
        <a:off x="2565820" y="2437429"/>
        <a:ext cx="677764" cy="695421"/>
      </dsp:txXfrm>
    </dsp:sp>
    <dsp:sp modelId="{40C94AF3-9D46-436E-8C60-3920587C7FBC}">
      <dsp:nvSpPr>
        <dsp:cNvPr id="0" name=""/>
        <dsp:cNvSpPr/>
      </dsp:nvSpPr>
      <dsp:spPr>
        <a:xfrm rot="12307332">
          <a:off x="901030" y="1993173"/>
          <a:ext cx="1559365" cy="436058"/>
        </a:xfrm>
        <a:prstGeom prst="leftArrow">
          <a:avLst>
            <a:gd name="adj1" fmla="val 60000"/>
            <a:gd name="adj2" fmla="val 50000"/>
          </a:avLst>
        </a:prstGeom>
        <a:solidFill>
          <a:srgbClr val="C0C0C0"/>
        </a:solidFill>
        <a:ln>
          <a:noFill/>
        </a:ln>
        <a:effectLst/>
      </dsp:spPr>
      <dsp:style>
        <a:lnRef idx="0">
          <a:scrgbClr r="0" g="0" b="0"/>
        </a:lnRef>
        <a:fillRef idx="1">
          <a:scrgbClr r="0" g="0" b="0"/>
        </a:fillRef>
        <a:effectRef idx="0">
          <a:scrgbClr r="0" g="0" b="0"/>
        </a:effectRef>
        <a:fontRef idx="minor">
          <a:schemeClr val="lt1"/>
        </a:fontRef>
      </dsp:style>
    </dsp:sp>
    <dsp:sp modelId="{44BCE5B4-4F3D-498B-A102-45D44120143F}">
      <dsp:nvSpPr>
        <dsp:cNvPr id="0" name=""/>
        <dsp:cNvSpPr/>
      </dsp:nvSpPr>
      <dsp:spPr>
        <a:xfrm>
          <a:off x="22018" y="1134592"/>
          <a:ext cx="1905532" cy="1491192"/>
        </a:xfrm>
        <a:prstGeom prst="roundRect">
          <a:avLst>
            <a:gd name="adj" fmla="val 10000"/>
          </a:avLst>
        </a:prstGeom>
        <a:solidFill>
          <a:schemeClr val="tx1">
            <a:lumMod val="20000"/>
            <a:lumOff val="8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ZA" sz="1000" b="1" i="1" kern="1200">
              <a:solidFill>
                <a:schemeClr val="tx2">
                  <a:lumMod val="75000"/>
                </a:schemeClr>
              </a:solidFill>
              <a:latin typeface="Arial" panose="020B0604020202020204" pitchFamily="34" charset="0"/>
              <a:cs typeface="Arial" panose="020B0604020202020204" pitchFamily="34" charset="0"/>
            </a:rPr>
            <a:t>Equity</a:t>
          </a:r>
          <a:r>
            <a:rPr lang="en-ZA" sz="1000" kern="1200">
              <a:solidFill>
                <a:sysClr val="windowText" lastClr="000000"/>
              </a:solidFill>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Font typeface="Symbol" panose="05050102010706020507" pitchFamily="18" charset="2"/>
            <a:buNone/>
          </a:pPr>
          <a:r>
            <a:rPr lang="en-ZA" sz="1000" kern="1200">
              <a:solidFill>
                <a:sysClr val="windowText" lastClr="000000"/>
              </a:solidFill>
              <a:latin typeface="Arial" panose="020B0604020202020204" pitchFamily="34" charset="0"/>
              <a:cs typeface="Arial" panose="020B0604020202020204" pitchFamily="34" charset="0"/>
            </a:rPr>
            <a:t>Fairness and affordability are key principles in the provision of government services given high levels of poverty and inequality. Fees should reflect this and the degree to which permits provide private benefit and/or public benefit.</a:t>
          </a:r>
        </a:p>
      </dsp:txBody>
      <dsp:txXfrm>
        <a:off x="65694" y="1178268"/>
        <a:ext cx="1818180" cy="1403840"/>
      </dsp:txXfrm>
    </dsp:sp>
    <dsp:sp modelId="{48C0FC87-3F75-458E-9C10-0B0FBE529BB0}">
      <dsp:nvSpPr>
        <dsp:cNvPr id="0" name=""/>
        <dsp:cNvSpPr/>
      </dsp:nvSpPr>
      <dsp:spPr>
        <a:xfrm rot="16236072">
          <a:off x="2202583" y="1276479"/>
          <a:ext cx="1431324" cy="436058"/>
        </a:xfrm>
        <a:prstGeom prst="leftArrow">
          <a:avLst>
            <a:gd name="adj1" fmla="val 60000"/>
            <a:gd name="adj2" fmla="val 50000"/>
          </a:avLst>
        </a:prstGeom>
        <a:solidFill>
          <a:srgbClr val="C0C0C0"/>
        </a:solidFill>
        <a:ln>
          <a:noFill/>
        </a:ln>
        <a:effectLst/>
      </dsp:spPr>
      <dsp:style>
        <a:lnRef idx="0">
          <a:scrgbClr r="0" g="0" b="0"/>
        </a:lnRef>
        <a:fillRef idx="1">
          <a:scrgbClr r="0" g="0" b="0"/>
        </a:fillRef>
        <a:effectRef idx="0">
          <a:scrgbClr r="0" g="0" b="0"/>
        </a:effectRef>
        <a:fontRef idx="minor">
          <a:schemeClr val="lt1"/>
        </a:fontRef>
      </dsp:style>
    </dsp:sp>
    <dsp:sp modelId="{B0A5E1D8-1DB2-4B88-A865-3E43D2D07797}">
      <dsp:nvSpPr>
        <dsp:cNvPr id="0" name=""/>
        <dsp:cNvSpPr/>
      </dsp:nvSpPr>
      <dsp:spPr>
        <a:xfrm>
          <a:off x="1964303" y="75913"/>
          <a:ext cx="1922902" cy="1405946"/>
        </a:xfrm>
        <a:prstGeom prst="roundRect">
          <a:avLst>
            <a:gd name="adj" fmla="val 10000"/>
          </a:avLst>
        </a:prstGeom>
        <a:solidFill>
          <a:schemeClr val="tx1">
            <a:lumMod val="20000"/>
            <a:lumOff val="8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ZA" sz="1000" b="1" i="1" kern="1200">
              <a:solidFill>
                <a:schemeClr val="tx2">
                  <a:lumMod val="75000"/>
                </a:schemeClr>
              </a:solidFill>
              <a:latin typeface="Arial" panose="020B0604020202020204" pitchFamily="34" charset="0"/>
              <a:cs typeface="Arial" panose="020B0604020202020204" pitchFamily="34" charset="0"/>
            </a:rPr>
            <a:t>Efficiency</a:t>
          </a:r>
          <a:endParaRPr lang="en-ZA" sz="1000" kern="1200">
            <a:solidFill>
              <a:schemeClr val="tx2">
                <a:lumMod val="75000"/>
              </a:schemeClr>
            </a:solidFill>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Font typeface="Symbol" panose="05050102010706020507" pitchFamily="18" charset="2"/>
            <a:buNone/>
          </a:pPr>
          <a:r>
            <a:rPr lang="en-ZA" sz="1000" kern="1200">
              <a:solidFill>
                <a:sysClr val="windowText" lastClr="000000"/>
              </a:solidFill>
              <a:latin typeface="Arial" panose="020B0604020202020204" pitchFamily="34" charset="0"/>
              <a:cs typeface="Arial" panose="020B0604020202020204" pitchFamily="34" charset="0"/>
            </a:rPr>
            <a:t>Efficiency is promoted when fees are more reflective of the costs of services provided or of the value permits provide to applicants. If a certain permit is more expensive to provide than another then the fee associated with it should be higher.</a:t>
          </a:r>
        </a:p>
      </dsp:txBody>
      <dsp:txXfrm>
        <a:off x="2005482" y="117092"/>
        <a:ext cx="1840544" cy="1323588"/>
      </dsp:txXfrm>
    </dsp:sp>
    <dsp:sp modelId="{106E1452-B28E-4F70-9782-4CA114AABC3D}">
      <dsp:nvSpPr>
        <dsp:cNvPr id="0" name=""/>
        <dsp:cNvSpPr/>
      </dsp:nvSpPr>
      <dsp:spPr>
        <a:xfrm rot="20060452">
          <a:off x="3343758" y="1973960"/>
          <a:ext cx="1591344" cy="436058"/>
        </a:xfrm>
        <a:prstGeom prst="leftArrow">
          <a:avLst>
            <a:gd name="adj1" fmla="val 60000"/>
            <a:gd name="adj2" fmla="val 50000"/>
          </a:avLst>
        </a:prstGeom>
        <a:solidFill>
          <a:srgbClr val="C0C0C0"/>
        </a:solidFill>
        <a:ln>
          <a:noFill/>
        </a:ln>
        <a:effectLst/>
      </dsp:spPr>
      <dsp:style>
        <a:lnRef idx="0">
          <a:scrgbClr r="0" g="0" b="0"/>
        </a:lnRef>
        <a:fillRef idx="1">
          <a:scrgbClr r="0" g="0" b="0"/>
        </a:fillRef>
        <a:effectRef idx="0">
          <a:scrgbClr r="0" g="0" b="0"/>
        </a:effectRef>
        <a:fontRef idx="minor">
          <a:schemeClr val="lt1"/>
        </a:fontRef>
      </dsp:style>
    </dsp:sp>
    <dsp:sp modelId="{36B67D52-27C2-48F0-979C-6CEDD50A676D}">
      <dsp:nvSpPr>
        <dsp:cNvPr id="0" name=""/>
        <dsp:cNvSpPr/>
      </dsp:nvSpPr>
      <dsp:spPr>
        <a:xfrm>
          <a:off x="3922078" y="1140931"/>
          <a:ext cx="1869121" cy="1413039"/>
        </a:xfrm>
        <a:prstGeom prst="roundRect">
          <a:avLst>
            <a:gd name="adj" fmla="val 10000"/>
          </a:avLst>
        </a:prstGeom>
        <a:solidFill>
          <a:schemeClr val="tx1">
            <a:lumMod val="20000"/>
            <a:lumOff val="8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rtl="0">
            <a:lnSpc>
              <a:spcPct val="90000"/>
            </a:lnSpc>
            <a:spcBef>
              <a:spcPct val="0"/>
            </a:spcBef>
            <a:spcAft>
              <a:spcPct val="35000"/>
            </a:spcAft>
            <a:buNone/>
          </a:pPr>
          <a:r>
            <a:rPr lang="en-ZA" sz="1000" b="1" i="1" kern="1200">
              <a:solidFill>
                <a:schemeClr val="tx2">
                  <a:lumMod val="75000"/>
                </a:schemeClr>
              </a:solidFill>
              <a:latin typeface="Arial" panose="020B0604020202020204" pitchFamily="34" charset="0"/>
              <a:cs typeface="Arial" panose="020B0604020202020204" pitchFamily="34" charset="0"/>
            </a:rPr>
            <a:t>Simplicity</a:t>
          </a:r>
          <a:endParaRPr lang="en-ZA" sz="1000" kern="1200">
            <a:solidFill>
              <a:schemeClr val="tx2">
                <a:lumMod val="75000"/>
              </a:schemeClr>
            </a:solidFill>
            <a:latin typeface="Arial" panose="020B0604020202020204" pitchFamily="34" charset="0"/>
            <a:cs typeface="Arial" panose="020B0604020202020204" pitchFamily="34" charset="0"/>
          </a:endParaRPr>
        </a:p>
        <a:p>
          <a:pPr marL="0" lvl="0" indent="0" algn="ctr" defTabSz="444500" rtl="0">
            <a:lnSpc>
              <a:spcPct val="90000"/>
            </a:lnSpc>
            <a:spcBef>
              <a:spcPct val="0"/>
            </a:spcBef>
            <a:spcAft>
              <a:spcPct val="35000"/>
            </a:spcAft>
            <a:buNone/>
          </a:pPr>
          <a:r>
            <a:rPr lang="en-ZA" sz="1000" kern="1200">
              <a:solidFill>
                <a:sysClr val="windowText" lastClr="000000"/>
              </a:solidFill>
              <a:latin typeface="Arial" panose="020B0604020202020204" pitchFamily="34" charset="0"/>
              <a:cs typeface="Arial" panose="020B0604020202020204" pitchFamily="34" charset="0"/>
            </a:rPr>
            <a:t>Simpler fees and structures are easier for applicants to understand and for officials to set and apply reducing frustration and costs. Complex fees should be avoided unless they can be clearly justified and adequately implemented.</a:t>
          </a:r>
        </a:p>
      </dsp:txBody>
      <dsp:txXfrm>
        <a:off x="3963464" y="1182317"/>
        <a:ext cx="1786349" cy="13302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75785-EFB4-4433-8B2C-093B8661916A}">
      <dsp:nvSpPr>
        <dsp:cNvPr id="0" name=""/>
        <dsp:cNvSpPr/>
      </dsp:nvSpPr>
      <dsp:spPr>
        <a:xfrm>
          <a:off x="5089525" y="569295"/>
          <a:ext cx="938202" cy="938023"/>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1AFF67-C8C5-49B6-AC76-F7177BD3C187}">
      <dsp:nvSpPr>
        <dsp:cNvPr id="0" name=""/>
        <dsp:cNvSpPr/>
      </dsp:nvSpPr>
      <dsp:spPr>
        <a:xfrm>
          <a:off x="5121117" y="600568"/>
          <a:ext cx="875615" cy="875478"/>
        </a:xfrm>
        <a:prstGeom prst="ellipse">
          <a:avLst/>
        </a:prstGeom>
        <a:solidFill>
          <a:srgbClr val="CBE4D4">
            <a:alpha val="89804"/>
          </a:srgb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Final fees</a:t>
          </a:r>
        </a:p>
      </dsp:txBody>
      <dsp:txXfrm>
        <a:off x="5246290" y="725660"/>
        <a:ext cx="625269" cy="625294"/>
      </dsp:txXfrm>
    </dsp:sp>
    <dsp:sp modelId="{DD92AFAD-8273-4973-8430-B994A27BEE0C}">
      <dsp:nvSpPr>
        <dsp:cNvPr id="0" name=""/>
        <dsp:cNvSpPr/>
      </dsp:nvSpPr>
      <dsp:spPr>
        <a:xfrm rot="2700000">
          <a:off x="4120394" y="569189"/>
          <a:ext cx="938070" cy="938070"/>
        </a:xfrm>
        <a:prstGeom prst="teardrop">
          <a:avLst>
            <a:gd name="adj" fmla="val 100000"/>
          </a:avLst>
        </a:prstGeom>
        <a:solidFill>
          <a:schemeClr val="tx2"/>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D7ABF6-3A5B-4FBE-8F9C-4C11E642ECF4}">
      <dsp:nvSpPr>
        <dsp:cNvPr id="0" name=""/>
        <dsp:cNvSpPr/>
      </dsp:nvSpPr>
      <dsp:spPr>
        <a:xfrm>
          <a:off x="4151919" y="600568"/>
          <a:ext cx="875615" cy="875478"/>
        </a:xfrm>
        <a:prstGeom prst="ellipse">
          <a:avLst/>
        </a:prstGeom>
        <a:solidFill>
          <a:srgbClr val="CBE4D4">
            <a:alpha val="90000"/>
          </a:srgb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Draft fees</a:t>
          </a:r>
        </a:p>
      </dsp:txBody>
      <dsp:txXfrm>
        <a:off x="4277092" y="725660"/>
        <a:ext cx="625269" cy="625294"/>
      </dsp:txXfrm>
    </dsp:sp>
    <dsp:sp modelId="{3632C52D-2A08-4C6F-A537-11FE9997587E}">
      <dsp:nvSpPr>
        <dsp:cNvPr id="0" name=""/>
        <dsp:cNvSpPr/>
      </dsp:nvSpPr>
      <dsp:spPr>
        <a:xfrm rot="2700000">
          <a:off x="3151196" y="569189"/>
          <a:ext cx="938070" cy="938070"/>
        </a:xfrm>
        <a:prstGeom prst="teardrop">
          <a:avLst>
            <a:gd name="adj" fmla="val 100000"/>
          </a:avLst>
        </a:prstGeom>
        <a:solidFill>
          <a:schemeClr val="tx2"/>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483CB7-BC9E-449C-931B-F843C7999CAD}">
      <dsp:nvSpPr>
        <dsp:cNvPr id="0" name=""/>
        <dsp:cNvSpPr/>
      </dsp:nvSpPr>
      <dsp:spPr>
        <a:xfrm>
          <a:off x="3182722" y="600568"/>
          <a:ext cx="875615" cy="875478"/>
        </a:xfrm>
        <a:prstGeom prst="ellipse">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Adjust to support policy objectives</a:t>
          </a:r>
        </a:p>
      </dsp:txBody>
      <dsp:txXfrm>
        <a:off x="3307895" y="725660"/>
        <a:ext cx="625269" cy="625294"/>
      </dsp:txXfrm>
    </dsp:sp>
    <dsp:sp modelId="{5054C276-1DF1-4481-999E-37AE750DB3B8}">
      <dsp:nvSpPr>
        <dsp:cNvPr id="0" name=""/>
        <dsp:cNvSpPr/>
      </dsp:nvSpPr>
      <dsp:spPr>
        <a:xfrm rot="2700000">
          <a:off x="2181999" y="569189"/>
          <a:ext cx="938070" cy="938070"/>
        </a:xfrm>
        <a:prstGeom prst="teardrop">
          <a:avLst>
            <a:gd name="adj" fmla="val 100000"/>
          </a:avLst>
        </a:prstGeom>
        <a:solidFill>
          <a:schemeClr val="tx2"/>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001BF3-0CBC-4297-8830-44C9D59B0794}">
      <dsp:nvSpPr>
        <dsp:cNvPr id="0" name=""/>
        <dsp:cNvSpPr/>
      </dsp:nvSpPr>
      <dsp:spPr>
        <a:xfrm>
          <a:off x="2213524" y="600568"/>
          <a:ext cx="875615" cy="875478"/>
        </a:xfrm>
        <a:prstGeom prst="ellipse">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Adjust to capture value</a:t>
          </a:r>
        </a:p>
      </dsp:txBody>
      <dsp:txXfrm>
        <a:off x="2338101" y="725660"/>
        <a:ext cx="625269" cy="625294"/>
      </dsp:txXfrm>
    </dsp:sp>
    <dsp:sp modelId="{40C64FA2-F22B-499A-98B1-11402F55EF1F}">
      <dsp:nvSpPr>
        <dsp:cNvPr id="0" name=""/>
        <dsp:cNvSpPr/>
      </dsp:nvSpPr>
      <dsp:spPr>
        <a:xfrm rot="2700000">
          <a:off x="1212801" y="569189"/>
          <a:ext cx="938070" cy="938070"/>
        </a:xfrm>
        <a:prstGeom prst="teardrop">
          <a:avLst>
            <a:gd name="adj" fmla="val 100000"/>
          </a:avLst>
        </a:prstGeom>
        <a:solidFill>
          <a:schemeClr val="tx2"/>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5A33C9-FB4B-4FA7-B9D8-18F8E42D6F3B}">
      <dsp:nvSpPr>
        <dsp:cNvPr id="0" name=""/>
        <dsp:cNvSpPr/>
      </dsp:nvSpPr>
      <dsp:spPr>
        <a:xfrm>
          <a:off x="1244326" y="600568"/>
          <a:ext cx="875615" cy="875478"/>
        </a:xfrm>
        <a:prstGeom prst="ellipse">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Adjust for affordability and equity</a:t>
          </a:r>
        </a:p>
      </dsp:txBody>
      <dsp:txXfrm>
        <a:off x="1368904" y="725660"/>
        <a:ext cx="625269" cy="625294"/>
      </dsp:txXfrm>
    </dsp:sp>
    <dsp:sp modelId="{D733658F-512A-433D-8398-86F4D23A17A9}">
      <dsp:nvSpPr>
        <dsp:cNvPr id="0" name=""/>
        <dsp:cNvSpPr/>
      </dsp:nvSpPr>
      <dsp:spPr>
        <a:xfrm rot="2700000">
          <a:off x="243604" y="569189"/>
          <a:ext cx="938070" cy="938070"/>
        </a:xfrm>
        <a:prstGeom prst="teardrop">
          <a:avLst>
            <a:gd name="adj" fmla="val 100000"/>
          </a:avLst>
        </a:prstGeom>
        <a:solidFill>
          <a:schemeClr val="tx2"/>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BCCAAF-ED40-4E47-9B62-98EFF38CD8F9}">
      <dsp:nvSpPr>
        <dsp:cNvPr id="0" name=""/>
        <dsp:cNvSpPr/>
      </dsp:nvSpPr>
      <dsp:spPr>
        <a:xfrm>
          <a:off x="274533" y="600568"/>
          <a:ext cx="875615" cy="875478"/>
        </a:xfrm>
        <a:prstGeom prst="ellipse">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ZA" sz="900" kern="1200">
              <a:solidFill>
                <a:sysClr val="windowText" lastClr="000000"/>
              </a:solidFill>
              <a:latin typeface="Arial" panose="020B0604020202020204" pitchFamily="34" charset="0"/>
              <a:cs typeface="Arial" panose="020B0604020202020204" pitchFamily="34" charset="0"/>
            </a:rPr>
            <a:t>Estimate fee that would achieve cost recovery </a:t>
          </a:r>
        </a:p>
      </dsp:txBody>
      <dsp:txXfrm>
        <a:off x="399706" y="725660"/>
        <a:ext cx="625269" cy="6252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DF New Colors">
      <a:dk1>
        <a:srgbClr val="0E4E95"/>
      </a:dk1>
      <a:lt1>
        <a:srgbClr val="F05B55"/>
      </a:lt1>
      <a:dk2>
        <a:srgbClr val="00B16B"/>
      </a:dk2>
      <a:lt2>
        <a:srgbClr val="F6921E"/>
      </a:lt2>
      <a:accent1>
        <a:srgbClr val="FFC10E"/>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66584E">
            <a:alpha val="17000"/>
          </a:srgbClr>
        </a:solidFill>
        <a:ln>
          <a:noFill/>
        </a:ln>
        <a:extLst>
          <a:ext uri="{91240B29-F687-4F45-9708-019B960494DF}">
            <a14:hiddenLine xmlns:a14="http://schemas.microsoft.com/office/drawing/2010/main" w="12700">
              <a:solidFill>
                <a:srgbClr val="003366"/>
              </a:solidFill>
              <a:miter lim="800000"/>
              <a:headEnd/>
              <a:tailEnd/>
            </a14:hiddenLine>
          </a:ext>
        </a:extLst>
      </a:spPr>
      <a:bodyPr rot="0" vert="horz" wrap="square" lIns="108000" tIns="108000" rIns="108000" bIns="108000"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15559788960D84DBB50CC7EE77BA130" ma:contentTypeVersion="13" ma:contentTypeDescription="Create a new document." ma:contentTypeScope="" ma:versionID="007a883b4e8ba0d5503bc7e2dec89ce3">
  <xsd:schema xmlns:xsd="http://www.w3.org/2001/XMLSchema" xmlns:xs="http://www.w3.org/2001/XMLSchema" xmlns:p="http://schemas.microsoft.com/office/2006/metadata/properties" xmlns:ns2="b30d983f-ecfd-462e-88a9-ab67eecf3eaf" xmlns:ns3="a16bb3ce-c5c8-4eeb-8153-10bb2120fc32" targetNamespace="http://schemas.microsoft.com/office/2006/metadata/properties" ma:root="true" ma:fieldsID="9d1cced05e74392de3df16b4833cc5de" ns2:_="" ns3:_="">
    <xsd:import namespace="b30d983f-ecfd-462e-88a9-ab67eecf3eaf"/>
    <xsd:import namespace="a16bb3ce-c5c8-4eeb-8153-10bb2120f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d983f-ecfd-462e-88a9-ab67eecf3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6bb3ce-c5c8-4eeb-8153-10bb2120fc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DB100E-E7D2-45B7-AE8E-6B44E1126D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EF9AB-04C0-4742-8A7E-72AD49DF2211}">
  <ds:schemaRefs>
    <ds:schemaRef ds:uri="http://schemas.openxmlformats.org/officeDocument/2006/bibliography"/>
  </ds:schemaRefs>
</ds:datastoreItem>
</file>

<file path=customXml/itemProps3.xml><?xml version="1.0" encoding="utf-8"?>
<ds:datastoreItem xmlns:ds="http://schemas.openxmlformats.org/officeDocument/2006/customXml" ds:itemID="{8F382DFE-D7B3-4040-BB72-A7AA0E28C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d983f-ecfd-462e-88a9-ab67eecf3eaf"/>
    <ds:schemaRef ds:uri="a16bb3ce-c5c8-4eeb-8153-10bb2120f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7F93B-CF5F-4AA6-BC1F-3A23EEFCA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27</Pages>
  <Words>6079</Words>
  <Characters>34652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獫票楧栮捯洀鉭曮㞱Û뜰⠲쎔딁烊皭〼፥ᙼ䕸忤઱</Company>
  <LinksUpToDate>false</LinksUpToDate>
  <CharactersWithSpaces>40650</CharactersWithSpaces>
  <SharedDoc>false</SharedDoc>
  <HLinks>
    <vt:vector size="156" baseType="variant">
      <vt:variant>
        <vt:i4>1245244</vt:i4>
      </vt:variant>
      <vt:variant>
        <vt:i4>149</vt:i4>
      </vt:variant>
      <vt:variant>
        <vt:i4>0</vt:i4>
      </vt:variant>
      <vt:variant>
        <vt:i4>5</vt:i4>
      </vt:variant>
      <vt:variant>
        <vt:lpwstr/>
      </vt:variant>
      <vt:variant>
        <vt:lpwstr>_Toc99372349</vt:lpwstr>
      </vt:variant>
      <vt:variant>
        <vt:i4>1179708</vt:i4>
      </vt:variant>
      <vt:variant>
        <vt:i4>143</vt:i4>
      </vt:variant>
      <vt:variant>
        <vt:i4>0</vt:i4>
      </vt:variant>
      <vt:variant>
        <vt:i4>5</vt:i4>
      </vt:variant>
      <vt:variant>
        <vt:lpwstr/>
      </vt:variant>
      <vt:variant>
        <vt:lpwstr>_Toc99372348</vt:lpwstr>
      </vt:variant>
      <vt:variant>
        <vt:i4>1900604</vt:i4>
      </vt:variant>
      <vt:variant>
        <vt:i4>137</vt:i4>
      </vt:variant>
      <vt:variant>
        <vt:i4>0</vt:i4>
      </vt:variant>
      <vt:variant>
        <vt:i4>5</vt:i4>
      </vt:variant>
      <vt:variant>
        <vt:lpwstr/>
      </vt:variant>
      <vt:variant>
        <vt:lpwstr>_Toc99372347</vt:lpwstr>
      </vt:variant>
      <vt:variant>
        <vt:i4>1835068</vt:i4>
      </vt:variant>
      <vt:variant>
        <vt:i4>131</vt:i4>
      </vt:variant>
      <vt:variant>
        <vt:i4>0</vt:i4>
      </vt:variant>
      <vt:variant>
        <vt:i4>5</vt:i4>
      </vt:variant>
      <vt:variant>
        <vt:lpwstr/>
      </vt:variant>
      <vt:variant>
        <vt:lpwstr>_Toc99372346</vt:lpwstr>
      </vt:variant>
      <vt:variant>
        <vt:i4>2031676</vt:i4>
      </vt:variant>
      <vt:variant>
        <vt:i4>125</vt:i4>
      </vt:variant>
      <vt:variant>
        <vt:i4>0</vt:i4>
      </vt:variant>
      <vt:variant>
        <vt:i4>5</vt:i4>
      </vt:variant>
      <vt:variant>
        <vt:lpwstr/>
      </vt:variant>
      <vt:variant>
        <vt:lpwstr>_Toc99372345</vt:lpwstr>
      </vt:variant>
      <vt:variant>
        <vt:i4>1966140</vt:i4>
      </vt:variant>
      <vt:variant>
        <vt:i4>119</vt:i4>
      </vt:variant>
      <vt:variant>
        <vt:i4>0</vt:i4>
      </vt:variant>
      <vt:variant>
        <vt:i4>5</vt:i4>
      </vt:variant>
      <vt:variant>
        <vt:lpwstr/>
      </vt:variant>
      <vt:variant>
        <vt:lpwstr>_Toc99372344</vt:lpwstr>
      </vt:variant>
      <vt:variant>
        <vt:i4>1638460</vt:i4>
      </vt:variant>
      <vt:variant>
        <vt:i4>113</vt:i4>
      </vt:variant>
      <vt:variant>
        <vt:i4>0</vt:i4>
      </vt:variant>
      <vt:variant>
        <vt:i4>5</vt:i4>
      </vt:variant>
      <vt:variant>
        <vt:lpwstr/>
      </vt:variant>
      <vt:variant>
        <vt:lpwstr>_Toc99372343</vt:lpwstr>
      </vt:variant>
      <vt:variant>
        <vt:i4>1572924</vt:i4>
      </vt:variant>
      <vt:variant>
        <vt:i4>107</vt:i4>
      </vt:variant>
      <vt:variant>
        <vt:i4>0</vt:i4>
      </vt:variant>
      <vt:variant>
        <vt:i4>5</vt:i4>
      </vt:variant>
      <vt:variant>
        <vt:lpwstr/>
      </vt:variant>
      <vt:variant>
        <vt:lpwstr>_Toc99372342</vt:lpwstr>
      </vt:variant>
      <vt:variant>
        <vt:i4>1769532</vt:i4>
      </vt:variant>
      <vt:variant>
        <vt:i4>101</vt:i4>
      </vt:variant>
      <vt:variant>
        <vt:i4>0</vt:i4>
      </vt:variant>
      <vt:variant>
        <vt:i4>5</vt:i4>
      </vt:variant>
      <vt:variant>
        <vt:lpwstr/>
      </vt:variant>
      <vt:variant>
        <vt:lpwstr>_Toc99372341</vt:lpwstr>
      </vt:variant>
      <vt:variant>
        <vt:i4>1703996</vt:i4>
      </vt:variant>
      <vt:variant>
        <vt:i4>95</vt:i4>
      </vt:variant>
      <vt:variant>
        <vt:i4>0</vt:i4>
      </vt:variant>
      <vt:variant>
        <vt:i4>5</vt:i4>
      </vt:variant>
      <vt:variant>
        <vt:lpwstr/>
      </vt:variant>
      <vt:variant>
        <vt:lpwstr>_Toc99372340</vt:lpwstr>
      </vt:variant>
      <vt:variant>
        <vt:i4>1245243</vt:i4>
      </vt:variant>
      <vt:variant>
        <vt:i4>89</vt:i4>
      </vt:variant>
      <vt:variant>
        <vt:i4>0</vt:i4>
      </vt:variant>
      <vt:variant>
        <vt:i4>5</vt:i4>
      </vt:variant>
      <vt:variant>
        <vt:lpwstr/>
      </vt:variant>
      <vt:variant>
        <vt:lpwstr>_Toc99372339</vt:lpwstr>
      </vt:variant>
      <vt:variant>
        <vt:i4>1179707</vt:i4>
      </vt:variant>
      <vt:variant>
        <vt:i4>83</vt:i4>
      </vt:variant>
      <vt:variant>
        <vt:i4>0</vt:i4>
      </vt:variant>
      <vt:variant>
        <vt:i4>5</vt:i4>
      </vt:variant>
      <vt:variant>
        <vt:lpwstr/>
      </vt:variant>
      <vt:variant>
        <vt:lpwstr>_Toc99372338</vt:lpwstr>
      </vt:variant>
      <vt:variant>
        <vt:i4>1900603</vt:i4>
      </vt:variant>
      <vt:variant>
        <vt:i4>77</vt:i4>
      </vt:variant>
      <vt:variant>
        <vt:i4>0</vt:i4>
      </vt:variant>
      <vt:variant>
        <vt:i4>5</vt:i4>
      </vt:variant>
      <vt:variant>
        <vt:lpwstr/>
      </vt:variant>
      <vt:variant>
        <vt:lpwstr>_Toc99372337</vt:lpwstr>
      </vt:variant>
      <vt:variant>
        <vt:i4>1835067</vt:i4>
      </vt:variant>
      <vt:variant>
        <vt:i4>71</vt:i4>
      </vt:variant>
      <vt:variant>
        <vt:i4>0</vt:i4>
      </vt:variant>
      <vt:variant>
        <vt:i4>5</vt:i4>
      </vt:variant>
      <vt:variant>
        <vt:lpwstr/>
      </vt:variant>
      <vt:variant>
        <vt:lpwstr>_Toc99372336</vt:lpwstr>
      </vt:variant>
      <vt:variant>
        <vt:i4>2031675</vt:i4>
      </vt:variant>
      <vt:variant>
        <vt:i4>65</vt:i4>
      </vt:variant>
      <vt:variant>
        <vt:i4>0</vt:i4>
      </vt:variant>
      <vt:variant>
        <vt:i4>5</vt:i4>
      </vt:variant>
      <vt:variant>
        <vt:lpwstr/>
      </vt:variant>
      <vt:variant>
        <vt:lpwstr>_Toc99372335</vt:lpwstr>
      </vt:variant>
      <vt:variant>
        <vt:i4>1966139</vt:i4>
      </vt:variant>
      <vt:variant>
        <vt:i4>59</vt:i4>
      </vt:variant>
      <vt:variant>
        <vt:i4>0</vt:i4>
      </vt:variant>
      <vt:variant>
        <vt:i4>5</vt:i4>
      </vt:variant>
      <vt:variant>
        <vt:lpwstr/>
      </vt:variant>
      <vt:variant>
        <vt:lpwstr>_Toc99372334</vt:lpwstr>
      </vt:variant>
      <vt:variant>
        <vt:i4>1638459</vt:i4>
      </vt:variant>
      <vt:variant>
        <vt:i4>53</vt:i4>
      </vt:variant>
      <vt:variant>
        <vt:i4>0</vt:i4>
      </vt:variant>
      <vt:variant>
        <vt:i4>5</vt:i4>
      </vt:variant>
      <vt:variant>
        <vt:lpwstr/>
      </vt:variant>
      <vt:variant>
        <vt:lpwstr>_Toc99372333</vt:lpwstr>
      </vt:variant>
      <vt:variant>
        <vt:i4>1572923</vt:i4>
      </vt:variant>
      <vt:variant>
        <vt:i4>47</vt:i4>
      </vt:variant>
      <vt:variant>
        <vt:i4>0</vt:i4>
      </vt:variant>
      <vt:variant>
        <vt:i4>5</vt:i4>
      </vt:variant>
      <vt:variant>
        <vt:lpwstr/>
      </vt:variant>
      <vt:variant>
        <vt:lpwstr>_Toc99372332</vt:lpwstr>
      </vt:variant>
      <vt:variant>
        <vt:i4>1769531</vt:i4>
      </vt:variant>
      <vt:variant>
        <vt:i4>41</vt:i4>
      </vt:variant>
      <vt:variant>
        <vt:i4>0</vt:i4>
      </vt:variant>
      <vt:variant>
        <vt:i4>5</vt:i4>
      </vt:variant>
      <vt:variant>
        <vt:lpwstr/>
      </vt:variant>
      <vt:variant>
        <vt:lpwstr>_Toc99372331</vt:lpwstr>
      </vt:variant>
      <vt:variant>
        <vt:i4>1703995</vt:i4>
      </vt:variant>
      <vt:variant>
        <vt:i4>35</vt:i4>
      </vt:variant>
      <vt:variant>
        <vt:i4>0</vt:i4>
      </vt:variant>
      <vt:variant>
        <vt:i4>5</vt:i4>
      </vt:variant>
      <vt:variant>
        <vt:lpwstr/>
      </vt:variant>
      <vt:variant>
        <vt:lpwstr>_Toc99372330</vt:lpwstr>
      </vt:variant>
      <vt:variant>
        <vt:i4>1245242</vt:i4>
      </vt:variant>
      <vt:variant>
        <vt:i4>29</vt:i4>
      </vt:variant>
      <vt:variant>
        <vt:i4>0</vt:i4>
      </vt:variant>
      <vt:variant>
        <vt:i4>5</vt:i4>
      </vt:variant>
      <vt:variant>
        <vt:lpwstr/>
      </vt:variant>
      <vt:variant>
        <vt:lpwstr>_Toc99372329</vt:lpwstr>
      </vt:variant>
      <vt:variant>
        <vt:i4>1179706</vt:i4>
      </vt:variant>
      <vt:variant>
        <vt:i4>23</vt:i4>
      </vt:variant>
      <vt:variant>
        <vt:i4>0</vt:i4>
      </vt:variant>
      <vt:variant>
        <vt:i4>5</vt:i4>
      </vt:variant>
      <vt:variant>
        <vt:lpwstr/>
      </vt:variant>
      <vt:variant>
        <vt:lpwstr>_Toc99372328</vt:lpwstr>
      </vt:variant>
      <vt:variant>
        <vt:i4>1900602</vt:i4>
      </vt:variant>
      <vt:variant>
        <vt:i4>17</vt:i4>
      </vt:variant>
      <vt:variant>
        <vt:i4>0</vt:i4>
      </vt:variant>
      <vt:variant>
        <vt:i4>5</vt:i4>
      </vt:variant>
      <vt:variant>
        <vt:lpwstr/>
      </vt:variant>
      <vt:variant>
        <vt:lpwstr>_Toc99372327</vt:lpwstr>
      </vt:variant>
      <vt:variant>
        <vt:i4>1835066</vt:i4>
      </vt:variant>
      <vt:variant>
        <vt:i4>11</vt:i4>
      </vt:variant>
      <vt:variant>
        <vt:i4>0</vt:i4>
      </vt:variant>
      <vt:variant>
        <vt:i4>5</vt:i4>
      </vt:variant>
      <vt:variant>
        <vt:lpwstr/>
      </vt:variant>
      <vt:variant>
        <vt:lpwstr>_Toc99372326</vt:lpwstr>
      </vt:variant>
      <vt:variant>
        <vt:i4>2031674</vt:i4>
      </vt:variant>
      <vt:variant>
        <vt:i4>5</vt:i4>
      </vt:variant>
      <vt:variant>
        <vt:i4>0</vt:i4>
      </vt:variant>
      <vt:variant>
        <vt:i4>5</vt:i4>
      </vt:variant>
      <vt:variant>
        <vt:lpwstr/>
      </vt:variant>
      <vt:variant>
        <vt:lpwstr>_Toc99372325</vt:lpwstr>
      </vt:variant>
      <vt:variant>
        <vt:i4>2490494</vt:i4>
      </vt:variant>
      <vt:variant>
        <vt:i4>0</vt:i4>
      </vt:variant>
      <vt:variant>
        <vt:i4>0</vt:i4>
      </vt:variant>
      <vt:variant>
        <vt:i4>5</vt:i4>
      </vt:variant>
      <vt:variant>
        <vt:lpwstr>http://www.biodiversityfinance.org/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Pong</dc:creator>
  <cp:keywords/>
  <cp:lastModifiedBy>Dakalo Ramudidibi</cp:lastModifiedBy>
  <cp:revision>89</cp:revision>
  <cp:lastPrinted>2022-03-16T09:06:00Z</cp:lastPrinted>
  <dcterms:created xsi:type="dcterms:W3CDTF">2022-05-09T11:43:00Z</dcterms:created>
  <dcterms:modified xsi:type="dcterms:W3CDTF">2025-03-19T08:41:00Z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0x010100315559788960D84DBB50CC7EE77BA130</vt:lpwstr>
  </property>
</Properties>
</file>